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5CC5" w14:textId="77777777" w:rsidR="004959A8" w:rsidRPr="00D111F1" w:rsidRDefault="00E34CC9" w:rsidP="004959A8">
      <w:pPr>
        <w:rPr>
          <w:rFonts w:ascii="Cambria" w:hAnsi="Cambria"/>
          <w:b/>
          <w:bCs/>
          <w:i/>
          <w:iCs/>
          <w:lang w:val="cs-CZ"/>
        </w:rPr>
      </w:pPr>
      <w:r w:rsidRPr="00D111F1">
        <w:rPr>
          <w:rFonts w:ascii="Cambria" w:hAnsi="Cambria"/>
          <w:b/>
          <w:bCs/>
          <w:i/>
          <w:iCs/>
          <w:lang w:val="cs-CZ"/>
        </w:rPr>
        <w:t xml:space="preserve">KREAS, </w:t>
      </w:r>
      <w:r w:rsidR="004959A8" w:rsidRPr="00D111F1">
        <w:rPr>
          <w:rFonts w:ascii="Cambria" w:hAnsi="Cambria"/>
          <w:b/>
          <w:bCs/>
          <w:i/>
          <w:iCs/>
          <w:lang w:val="cs-CZ"/>
        </w:rPr>
        <w:t xml:space="preserve">VP2 – </w:t>
      </w:r>
      <w:proofErr w:type="spellStart"/>
      <w:r w:rsidR="004959A8" w:rsidRPr="00D111F1">
        <w:rPr>
          <w:rFonts w:ascii="Cambria" w:hAnsi="Cambria"/>
          <w:b/>
          <w:bCs/>
          <w:i/>
          <w:iCs/>
          <w:lang w:val="cs-CZ"/>
        </w:rPr>
        <w:t>Final</w:t>
      </w:r>
      <w:proofErr w:type="spellEnd"/>
      <w:r w:rsidR="004959A8" w:rsidRPr="00D111F1">
        <w:rPr>
          <w:rFonts w:ascii="Cambria" w:hAnsi="Cambria"/>
          <w:b/>
          <w:bCs/>
          <w:i/>
          <w:iCs/>
          <w:lang w:val="cs-CZ"/>
        </w:rPr>
        <w:t xml:space="preserve"> </w:t>
      </w:r>
      <w:proofErr w:type="spellStart"/>
      <w:r w:rsidR="004959A8" w:rsidRPr="00D111F1">
        <w:rPr>
          <w:rFonts w:ascii="Cambria" w:hAnsi="Cambria"/>
          <w:b/>
          <w:bCs/>
          <w:i/>
          <w:iCs/>
          <w:lang w:val="cs-CZ"/>
        </w:rPr>
        <w:t>Conference</w:t>
      </w:r>
      <w:proofErr w:type="spellEnd"/>
      <w:r w:rsidR="004959A8" w:rsidRPr="00D111F1">
        <w:rPr>
          <w:rFonts w:ascii="Cambria" w:hAnsi="Cambria"/>
          <w:b/>
          <w:bCs/>
          <w:i/>
          <w:iCs/>
          <w:lang w:val="cs-CZ"/>
        </w:rPr>
        <w:t xml:space="preserve"> </w:t>
      </w:r>
    </w:p>
    <w:p w14:paraId="711F9E39" w14:textId="77777777" w:rsidR="004959A8" w:rsidRPr="006622B8" w:rsidRDefault="004959A8" w:rsidP="004959A8">
      <w:pPr>
        <w:rPr>
          <w:rFonts w:ascii="Cambria" w:hAnsi="Cambria"/>
          <w:sz w:val="20"/>
          <w:szCs w:val="20"/>
          <w:lang w:val="cs-CZ"/>
        </w:rPr>
      </w:pPr>
      <w:r w:rsidRPr="006622B8">
        <w:rPr>
          <w:rFonts w:ascii="Cambria" w:hAnsi="Cambria"/>
          <w:sz w:val="20"/>
          <w:szCs w:val="20"/>
          <w:lang w:val="cs-CZ"/>
        </w:rPr>
        <w:t>(M1.11, M2.11, M3.12)</w:t>
      </w:r>
    </w:p>
    <w:p w14:paraId="6505D46F" w14:textId="77777777" w:rsidR="004959A8" w:rsidRPr="006622B8" w:rsidRDefault="004959A8" w:rsidP="004959A8">
      <w:pPr>
        <w:rPr>
          <w:rFonts w:ascii="Cambria" w:hAnsi="Cambria"/>
          <w:sz w:val="20"/>
          <w:szCs w:val="20"/>
          <w:lang w:val="cs-CZ"/>
        </w:rPr>
      </w:pPr>
      <w:proofErr w:type="spellStart"/>
      <w:r w:rsidRPr="006622B8">
        <w:rPr>
          <w:rFonts w:ascii="Cambria" w:hAnsi="Cambria"/>
          <w:sz w:val="20"/>
          <w:szCs w:val="20"/>
          <w:lang w:val="cs-CZ"/>
        </w:rPr>
        <w:t>March</w:t>
      </w:r>
      <w:proofErr w:type="spellEnd"/>
      <w:r w:rsidRPr="006622B8">
        <w:rPr>
          <w:rFonts w:ascii="Cambria" w:hAnsi="Cambria"/>
          <w:sz w:val="20"/>
          <w:szCs w:val="20"/>
          <w:lang w:val="cs-CZ"/>
        </w:rPr>
        <w:t xml:space="preserve"> 2-3, 2023</w:t>
      </w:r>
    </w:p>
    <w:p w14:paraId="2BB39D89" w14:textId="77777777" w:rsidR="004959A8" w:rsidRPr="006622B8" w:rsidRDefault="004959A8" w:rsidP="004959A8">
      <w:pPr>
        <w:rPr>
          <w:rFonts w:ascii="Cambria" w:hAnsi="Cambria"/>
          <w:sz w:val="20"/>
          <w:szCs w:val="20"/>
          <w:lang w:val="cs-CZ"/>
        </w:rPr>
      </w:pPr>
      <w:r w:rsidRPr="006622B8">
        <w:rPr>
          <w:rFonts w:ascii="Cambria" w:hAnsi="Cambria"/>
          <w:sz w:val="20"/>
          <w:szCs w:val="20"/>
          <w:lang w:val="cs-CZ"/>
        </w:rPr>
        <w:t>FF UK, nám</w:t>
      </w:r>
      <w:r w:rsidRPr="006622B8">
        <w:rPr>
          <w:rFonts w:ascii="Cambria" w:hAnsi="Cambria"/>
          <w:sz w:val="20"/>
          <w:szCs w:val="20"/>
        </w:rPr>
        <w:t xml:space="preserve">. J. </w:t>
      </w:r>
      <w:proofErr w:type="spellStart"/>
      <w:r w:rsidRPr="006622B8">
        <w:rPr>
          <w:rFonts w:ascii="Cambria" w:hAnsi="Cambria"/>
          <w:sz w:val="20"/>
          <w:szCs w:val="20"/>
        </w:rPr>
        <w:t>Palacha</w:t>
      </w:r>
      <w:proofErr w:type="spellEnd"/>
      <w:r w:rsidRPr="006622B8">
        <w:rPr>
          <w:rFonts w:ascii="Cambria" w:hAnsi="Cambria"/>
          <w:sz w:val="20"/>
          <w:szCs w:val="20"/>
        </w:rPr>
        <w:t xml:space="preserve">, </w:t>
      </w:r>
      <w:r w:rsidRPr="006622B8">
        <w:rPr>
          <w:rFonts w:ascii="Cambria" w:hAnsi="Cambria"/>
          <w:sz w:val="20"/>
          <w:szCs w:val="20"/>
          <w:lang w:val="cs-CZ"/>
        </w:rPr>
        <w:t>#104</w:t>
      </w:r>
    </w:p>
    <w:p w14:paraId="24AF6A3C" w14:textId="77777777" w:rsidR="004959A8" w:rsidRDefault="004959A8" w:rsidP="004959A8">
      <w:pPr>
        <w:rPr>
          <w:rFonts w:ascii="Cambria" w:hAnsi="Cambria" w:cs="Calibri"/>
          <w:b/>
          <w:bCs/>
          <w:color w:val="000000"/>
          <w:sz w:val="22"/>
          <w:szCs w:val="22"/>
        </w:rPr>
      </w:pPr>
    </w:p>
    <w:p w14:paraId="788B54FD" w14:textId="77777777" w:rsidR="000C24AA" w:rsidRDefault="000C24AA" w:rsidP="004959A8">
      <w:pPr>
        <w:rPr>
          <w:rFonts w:ascii="Cambria" w:hAnsi="Cambria" w:cs="Calibri"/>
          <w:b/>
          <w:bCs/>
          <w:color w:val="000000"/>
          <w:sz w:val="22"/>
          <w:szCs w:val="22"/>
        </w:rPr>
      </w:pPr>
    </w:p>
    <w:p w14:paraId="14485BE8" w14:textId="77777777" w:rsidR="004959A8" w:rsidRDefault="004959A8" w:rsidP="000C24AA">
      <w:pPr>
        <w:jc w:val="center"/>
        <w:rPr>
          <w:rFonts w:ascii="Cambria" w:hAnsi="Cambria" w:cs="Calibri"/>
          <w:caps/>
          <w:color w:val="000000"/>
          <w:sz w:val="28"/>
          <w:szCs w:val="28"/>
        </w:rPr>
      </w:pPr>
      <w:r w:rsidRPr="004959A8">
        <w:rPr>
          <w:rFonts w:ascii="Cambria" w:hAnsi="Cambria" w:cs="Calibri"/>
          <w:caps/>
          <w:color w:val="000000"/>
          <w:sz w:val="28"/>
          <w:szCs w:val="28"/>
        </w:rPr>
        <w:t>Abstracts of conference talks</w:t>
      </w:r>
    </w:p>
    <w:p w14:paraId="36FA9FA2" w14:textId="77777777" w:rsidR="000C24AA" w:rsidRPr="004959A8" w:rsidRDefault="000C24AA" w:rsidP="004959A8">
      <w:pPr>
        <w:jc w:val="center"/>
        <w:rPr>
          <w:rFonts w:ascii="Cambria" w:hAnsi="Cambria" w:cs="Calibri"/>
          <w:caps/>
          <w:color w:val="000000"/>
          <w:sz w:val="28"/>
          <w:szCs w:val="28"/>
        </w:rPr>
      </w:pPr>
    </w:p>
    <w:p w14:paraId="47CAE736" w14:textId="77777777" w:rsidR="008E1F06" w:rsidRPr="001D32A0" w:rsidRDefault="00AE3E6A" w:rsidP="000C24AA">
      <w:pPr>
        <w:jc w:val="center"/>
        <w:rPr>
          <w:rFonts w:ascii="Cambria" w:hAnsi="Cambria" w:cs="Calibri"/>
          <w:b/>
          <w:bCs/>
          <w:color w:val="000000"/>
          <w:sz w:val="22"/>
          <w:szCs w:val="22"/>
        </w:rPr>
      </w:pPr>
      <w:r w:rsidRPr="001D32A0">
        <w:rPr>
          <w:rFonts w:ascii="Cambria" w:hAnsi="Cambria" w:cs="Calibri"/>
          <w:b/>
          <w:bCs/>
          <w:color w:val="000000"/>
          <w:sz w:val="22"/>
          <w:szCs w:val="22"/>
        </w:rPr>
        <w:t>Ambiguity avoidance and discourse coherence in switch reference</w:t>
      </w:r>
    </w:p>
    <w:p w14:paraId="4E14E8E5" w14:textId="77777777" w:rsidR="00AE3E6A" w:rsidRPr="001D32A0" w:rsidRDefault="00AE3E6A" w:rsidP="000C24AA">
      <w:pPr>
        <w:jc w:val="center"/>
        <w:rPr>
          <w:rFonts w:ascii="Cambria" w:hAnsi="Cambria" w:cs="Calibri"/>
          <w:color w:val="000000"/>
          <w:sz w:val="22"/>
          <w:szCs w:val="22"/>
        </w:rPr>
      </w:pPr>
      <w:r w:rsidRPr="001D32A0">
        <w:rPr>
          <w:rFonts w:ascii="Cambria" w:hAnsi="Cambria" w:cs="Calibri"/>
          <w:color w:val="000000"/>
          <w:sz w:val="22"/>
          <w:szCs w:val="22"/>
        </w:rPr>
        <w:t xml:space="preserve">Scott </w:t>
      </w:r>
      <w:proofErr w:type="spellStart"/>
      <w:r w:rsidRPr="001D32A0">
        <w:rPr>
          <w:rFonts w:ascii="Cambria" w:hAnsi="Cambria" w:cs="Calibri"/>
          <w:color w:val="000000"/>
          <w:sz w:val="22"/>
          <w:szCs w:val="22"/>
        </w:rPr>
        <w:t>AderBois</w:t>
      </w:r>
      <w:proofErr w:type="spellEnd"/>
      <w:r w:rsidRPr="001D32A0">
        <w:rPr>
          <w:rFonts w:ascii="Cambria" w:hAnsi="Cambria" w:cs="Calibri"/>
          <w:color w:val="000000"/>
          <w:sz w:val="22"/>
          <w:szCs w:val="22"/>
        </w:rPr>
        <w:t>, Brown University</w:t>
      </w:r>
    </w:p>
    <w:p w14:paraId="133770B6" w14:textId="77777777" w:rsidR="001D32A0" w:rsidRPr="001D32A0" w:rsidRDefault="001D32A0" w:rsidP="000C24AA">
      <w:pPr>
        <w:jc w:val="both"/>
        <w:rPr>
          <w:rFonts w:ascii="Cambria" w:hAnsi="Cambria" w:cs="Calibri"/>
          <w:color w:val="000000"/>
          <w:sz w:val="22"/>
          <w:szCs w:val="22"/>
        </w:rPr>
      </w:pPr>
    </w:p>
    <w:p w14:paraId="50EBAF96" w14:textId="77777777" w:rsidR="004959A8" w:rsidRPr="001D32A0" w:rsidRDefault="00AE3E6A" w:rsidP="00A3574E">
      <w:pPr>
        <w:jc w:val="both"/>
        <w:rPr>
          <w:rFonts w:ascii="Cambria" w:hAnsi="Cambria" w:cs="Calibri"/>
          <w:color w:val="000000"/>
          <w:sz w:val="22"/>
          <w:szCs w:val="22"/>
        </w:rPr>
      </w:pPr>
      <w:r w:rsidRPr="001D32A0">
        <w:rPr>
          <w:rFonts w:ascii="Cambria" w:hAnsi="Cambria" w:cs="Calibri"/>
          <w:color w:val="000000"/>
          <w:sz w:val="22"/>
          <w:szCs w:val="22"/>
        </w:rPr>
        <w:t xml:space="preserve">While not found in European languages, Switch reference (SR) is a reasonably common phenomenon cross-linguistically in which the grammar of a language obliges a choice between forms requiring a clause's subject to be the SAME or DIFFERENT to that of an adjacent clause. Much research on SR takes its function to be one of ambiguity avoidance. In English, which lacks SR, the pronoun "they" in a sequence like "The city council denied the protesters' permit because they..." is ambiguous between interpretations in which "they" refers to the city council (SAME subject as the preceding clause) or in which "they" refers to the protesters (DIFFERENT subject than the preceding clause). In languages with SR, however, encoding SAME/DIFFERENT subject relations has the effect of avoiding this ambiguity. While clearly a consequence of SR, the idea that SR is functionally motivated by ambiguity avoidance alone makes a clear prediction that SR ought to be found in all and only the environments where such ambiguities arise (or at least potentially do so). In this talk, we test this hypothesis with a case study on switch reference in </w:t>
      </w:r>
      <w:proofErr w:type="spellStart"/>
      <w:r w:rsidRPr="001D32A0">
        <w:rPr>
          <w:rFonts w:ascii="Cambria" w:hAnsi="Cambria" w:cs="Calibri"/>
          <w:color w:val="000000"/>
          <w:sz w:val="22"/>
          <w:szCs w:val="22"/>
        </w:rPr>
        <w:t>A'ingae</w:t>
      </w:r>
      <w:proofErr w:type="spellEnd"/>
      <w:r w:rsidRPr="001D32A0">
        <w:rPr>
          <w:rFonts w:ascii="Cambria" w:hAnsi="Cambria" w:cs="Calibri"/>
          <w:color w:val="000000"/>
          <w:sz w:val="22"/>
          <w:szCs w:val="22"/>
        </w:rPr>
        <w:t xml:space="preserve"> (an endangered isolate language of Amazonian Ecuador). We show that the distribution of SR diverges substantially from what the ambiguity avoidance hypothesis predicts; SR remains obligatory even when ambiguities are not possible, and systematically fails to occur in many cases where ambiguity does arise. Instead, we argue that the distribution of SR is governed by discourse coherence relations; SR occurs where there is a coordinating coherence relation in the sense of theories like SDRT, intuitively one in which the rhetorical focus shifts to a new scene. We flesh out this generalization and consider its implications in light of recent theorizing about the interrelationships between discourse coherence and pronoun resolution more broadly.</w:t>
      </w:r>
    </w:p>
    <w:p w14:paraId="7CBBF38B" w14:textId="77777777" w:rsidR="000C24AA" w:rsidRDefault="00412ADD" w:rsidP="00A3574E">
      <w:pPr>
        <w:spacing w:before="240"/>
        <w:jc w:val="center"/>
        <w:rPr>
          <w:rFonts w:ascii="Cambria" w:hAnsi="Cambria" w:cs="Calibri"/>
          <w:b/>
          <w:bCs/>
          <w:color w:val="000000"/>
          <w:sz w:val="22"/>
          <w:szCs w:val="22"/>
          <w:shd w:val="clear" w:color="auto" w:fill="FFFFFF"/>
        </w:rPr>
      </w:pPr>
      <w:r w:rsidRPr="001D32A0">
        <w:rPr>
          <w:rFonts w:ascii="Cambria" w:hAnsi="Cambria" w:cs="Calibri"/>
          <w:b/>
          <w:bCs/>
          <w:color w:val="000000"/>
          <w:sz w:val="22"/>
          <w:szCs w:val="22"/>
          <w:shd w:val="clear" w:color="auto" w:fill="FFFFFF"/>
        </w:rPr>
        <w:t xml:space="preserve">City in the Storm: </w:t>
      </w:r>
    </w:p>
    <w:p w14:paraId="517B0478" w14:textId="77777777" w:rsidR="00412ADD" w:rsidRPr="001D32A0" w:rsidRDefault="000C24AA" w:rsidP="000C24AA">
      <w:pPr>
        <w:jc w:val="center"/>
        <w:rPr>
          <w:rFonts w:ascii="Cambria" w:hAnsi="Cambria"/>
          <w:b/>
          <w:bCs/>
          <w:sz w:val="22"/>
          <w:szCs w:val="22"/>
        </w:rPr>
      </w:pPr>
      <w:r>
        <w:rPr>
          <w:rFonts w:ascii="Cambria" w:hAnsi="Cambria" w:cs="Calibri"/>
          <w:b/>
          <w:bCs/>
          <w:color w:val="000000"/>
          <w:sz w:val="22"/>
          <w:szCs w:val="22"/>
          <w:shd w:val="clear" w:color="auto" w:fill="FFFFFF"/>
        </w:rPr>
        <w:t>A</w:t>
      </w:r>
      <w:r w:rsidR="00412ADD" w:rsidRPr="001D32A0">
        <w:rPr>
          <w:rFonts w:ascii="Cambria" w:hAnsi="Cambria" w:cs="Calibri"/>
          <w:b/>
          <w:bCs/>
          <w:color w:val="000000"/>
          <w:sz w:val="22"/>
          <w:szCs w:val="22"/>
          <w:shd w:val="clear" w:color="auto" w:fill="FFFFFF"/>
        </w:rPr>
        <w:t>rchitecture as a mirror of the struggle for the historical centre of Prague</w:t>
      </w:r>
    </w:p>
    <w:p w14:paraId="77675BDD" w14:textId="77777777" w:rsidR="00412ADD" w:rsidRPr="001D32A0" w:rsidRDefault="00412ADD" w:rsidP="000C24AA">
      <w:pPr>
        <w:shd w:val="clear" w:color="auto" w:fill="FFFFFF"/>
        <w:jc w:val="center"/>
        <w:rPr>
          <w:rFonts w:ascii="Cambria" w:hAnsi="Cambria" w:cs="Calibri"/>
          <w:color w:val="000000"/>
          <w:sz w:val="22"/>
          <w:szCs w:val="22"/>
          <w:lang w:val="cs-CZ"/>
        </w:rPr>
      </w:pPr>
      <w:r w:rsidRPr="001D32A0">
        <w:rPr>
          <w:rFonts w:ascii="Cambria" w:hAnsi="Cambria" w:cs="Calibri"/>
          <w:color w:val="000000"/>
          <w:sz w:val="22"/>
          <w:szCs w:val="22"/>
        </w:rPr>
        <w:t>Richard Biegel (WP3;</w:t>
      </w:r>
      <w:r w:rsidRPr="001D32A0">
        <w:rPr>
          <w:rFonts w:ascii="Cambria" w:hAnsi="Cambria" w:cs="Calibri"/>
          <w:color w:val="000000"/>
          <w:sz w:val="22"/>
          <w:szCs w:val="22"/>
          <w:lang w:val="cs-CZ"/>
        </w:rPr>
        <w:t xml:space="preserve"> Department </w:t>
      </w:r>
      <w:proofErr w:type="spellStart"/>
      <w:r w:rsidRPr="001D32A0">
        <w:rPr>
          <w:rFonts w:ascii="Cambria" w:hAnsi="Cambria" w:cs="Calibri"/>
          <w:color w:val="000000"/>
          <w:sz w:val="22"/>
          <w:szCs w:val="22"/>
          <w:lang w:val="cs-CZ"/>
        </w:rPr>
        <w:t>of</w:t>
      </w:r>
      <w:proofErr w:type="spellEnd"/>
      <w:r w:rsidRPr="001D32A0">
        <w:rPr>
          <w:rFonts w:ascii="Cambria" w:hAnsi="Cambria" w:cs="Calibri"/>
          <w:color w:val="000000"/>
          <w:sz w:val="22"/>
          <w:szCs w:val="22"/>
          <w:lang w:val="cs-CZ"/>
        </w:rPr>
        <w:t xml:space="preserve"> Art </w:t>
      </w:r>
      <w:proofErr w:type="spellStart"/>
      <w:r w:rsidRPr="001D32A0">
        <w:rPr>
          <w:rFonts w:ascii="Cambria" w:hAnsi="Cambria" w:cs="Calibri"/>
          <w:color w:val="000000"/>
          <w:sz w:val="22"/>
          <w:szCs w:val="22"/>
          <w:lang w:val="cs-CZ"/>
        </w:rPr>
        <w:t>History</w:t>
      </w:r>
      <w:proofErr w:type="spellEnd"/>
      <w:r w:rsidRPr="001D32A0">
        <w:rPr>
          <w:rFonts w:ascii="Cambria" w:hAnsi="Cambria" w:cs="Calibri"/>
          <w:color w:val="000000"/>
          <w:sz w:val="22"/>
          <w:szCs w:val="22"/>
          <w:lang w:val="cs-CZ"/>
        </w:rPr>
        <w:t>)</w:t>
      </w:r>
    </w:p>
    <w:p w14:paraId="533C192E" w14:textId="77777777" w:rsidR="00412ADD" w:rsidRPr="001D32A0" w:rsidRDefault="00412ADD" w:rsidP="000C24AA">
      <w:pPr>
        <w:shd w:val="clear" w:color="auto" w:fill="FFFFFF"/>
        <w:rPr>
          <w:rFonts w:ascii="Cambria" w:hAnsi="Cambria" w:cs="Calibri"/>
          <w:color w:val="000000"/>
          <w:sz w:val="22"/>
          <w:szCs w:val="22"/>
        </w:rPr>
      </w:pPr>
    </w:p>
    <w:p w14:paraId="439EE921" w14:textId="77777777" w:rsidR="004959A8" w:rsidRPr="00A3574E" w:rsidRDefault="00412ADD" w:rsidP="00A3574E">
      <w:pPr>
        <w:shd w:val="clear" w:color="auto" w:fill="FFFFFF"/>
        <w:jc w:val="both"/>
        <w:rPr>
          <w:rFonts w:ascii="Cambria" w:hAnsi="Cambria" w:cs="Calibri"/>
          <w:color w:val="000000"/>
          <w:sz w:val="22"/>
          <w:szCs w:val="22"/>
        </w:rPr>
      </w:pPr>
      <w:r w:rsidRPr="001D32A0">
        <w:rPr>
          <w:rFonts w:ascii="Cambria" w:hAnsi="Cambria" w:cs="Calibri"/>
          <w:color w:val="000000"/>
          <w:sz w:val="22"/>
          <w:szCs w:val="22"/>
        </w:rPr>
        <w:t xml:space="preserve">The historic centre of Prague underwent a dramatic transformation in the second half of the 19th and the first half of the 20th century. It was here that efforts at radical transformation, including the construction of modern districts and grand public buildings, were concentrated. The precondition for these interventions was widespread demolition, which affected even the oldest and most valuable parts of the city. It was thanks to these demolitions that the cultural public realised the value of historic Prague and began to fight for its protection. At the same time, there was a remarkable struggle between historicizing and modern architecture, which was also concentrated in the historic centre of the city. We will try to unravel all these layers of the city's urban history during an architectural walk, </w:t>
      </w:r>
      <w:r w:rsidRPr="001D32A0">
        <w:rPr>
          <w:rFonts w:ascii="Cambria" w:hAnsi="Cambria" w:cs="Calibri"/>
          <w:color w:val="000000"/>
          <w:sz w:val="22"/>
          <w:szCs w:val="22"/>
        </w:rPr>
        <w:lastRenderedPageBreak/>
        <w:t>which will start at the Faculty of Arts building and will focus on the transformation of the Old Town.</w:t>
      </w:r>
    </w:p>
    <w:p w14:paraId="426274A6" w14:textId="77777777" w:rsidR="000C24AA" w:rsidRDefault="009179CA" w:rsidP="00A3574E">
      <w:pPr>
        <w:spacing w:before="240"/>
        <w:jc w:val="center"/>
        <w:rPr>
          <w:rFonts w:ascii="Cambria" w:hAnsi="Cambria" w:cs="Calibri"/>
          <w:b/>
          <w:bCs/>
          <w:color w:val="000000"/>
          <w:sz w:val="22"/>
          <w:szCs w:val="22"/>
        </w:rPr>
      </w:pPr>
      <w:r w:rsidRPr="000C24AA">
        <w:rPr>
          <w:rFonts w:ascii="Cambria" w:hAnsi="Cambria" w:cs="Calibri"/>
          <w:b/>
          <w:bCs/>
          <w:color w:val="000000"/>
          <w:sz w:val="22"/>
          <w:szCs w:val="22"/>
        </w:rPr>
        <w:t xml:space="preserve">Adaptability and </w:t>
      </w:r>
      <w:r w:rsidR="000C24AA">
        <w:rPr>
          <w:rFonts w:ascii="Cambria" w:hAnsi="Cambria" w:cs="Calibri"/>
          <w:b/>
          <w:bCs/>
          <w:color w:val="000000"/>
          <w:sz w:val="22"/>
          <w:szCs w:val="22"/>
        </w:rPr>
        <w:t>c</w:t>
      </w:r>
      <w:r w:rsidRPr="000C24AA">
        <w:rPr>
          <w:rFonts w:ascii="Cambria" w:hAnsi="Cambria" w:cs="Calibri"/>
          <w:b/>
          <w:bCs/>
          <w:color w:val="000000"/>
          <w:sz w:val="22"/>
          <w:szCs w:val="22"/>
        </w:rPr>
        <w:t xml:space="preserve">reativity in </w:t>
      </w:r>
      <w:r w:rsidR="000C24AA">
        <w:rPr>
          <w:rFonts w:ascii="Cambria" w:hAnsi="Cambria" w:cs="Calibri"/>
          <w:b/>
          <w:bCs/>
          <w:color w:val="000000"/>
          <w:sz w:val="22"/>
          <w:szCs w:val="22"/>
        </w:rPr>
        <w:t>m</w:t>
      </w:r>
      <w:r w:rsidRPr="000C24AA">
        <w:rPr>
          <w:rFonts w:ascii="Cambria" w:hAnsi="Cambria" w:cs="Calibri"/>
          <w:b/>
          <w:bCs/>
          <w:color w:val="000000"/>
          <w:sz w:val="22"/>
          <w:szCs w:val="22"/>
        </w:rPr>
        <w:t>arginal(</w:t>
      </w:r>
      <w:proofErr w:type="spellStart"/>
      <w:r w:rsidRPr="000C24AA">
        <w:rPr>
          <w:rFonts w:ascii="Cambria" w:hAnsi="Cambria" w:cs="Calibri"/>
          <w:b/>
          <w:bCs/>
          <w:color w:val="000000"/>
          <w:sz w:val="22"/>
          <w:szCs w:val="22"/>
        </w:rPr>
        <w:t>ized</w:t>
      </w:r>
      <w:proofErr w:type="spellEnd"/>
      <w:r w:rsidRPr="000C24AA">
        <w:rPr>
          <w:rFonts w:ascii="Cambria" w:hAnsi="Cambria" w:cs="Calibri"/>
          <w:b/>
          <w:bCs/>
          <w:color w:val="000000"/>
          <w:sz w:val="22"/>
          <w:szCs w:val="22"/>
        </w:rPr>
        <w:t xml:space="preserve">) </w:t>
      </w:r>
      <w:r w:rsidR="000C24AA">
        <w:rPr>
          <w:rFonts w:ascii="Cambria" w:hAnsi="Cambria" w:cs="Calibri"/>
          <w:b/>
          <w:bCs/>
          <w:color w:val="000000"/>
          <w:sz w:val="22"/>
          <w:szCs w:val="22"/>
        </w:rPr>
        <w:t>s</w:t>
      </w:r>
      <w:r w:rsidRPr="000C24AA">
        <w:rPr>
          <w:rFonts w:ascii="Cambria" w:hAnsi="Cambria" w:cs="Calibri"/>
          <w:b/>
          <w:bCs/>
          <w:color w:val="000000"/>
          <w:sz w:val="22"/>
          <w:szCs w:val="22"/>
        </w:rPr>
        <w:t xml:space="preserve">paces: </w:t>
      </w:r>
    </w:p>
    <w:p w14:paraId="5621E017" w14:textId="77777777" w:rsidR="009179CA" w:rsidRPr="000C24AA" w:rsidRDefault="009179CA" w:rsidP="000C24AA">
      <w:pPr>
        <w:jc w:val="center"/>
        <w:rPr>
          <w:rFonts w:ascii="Cambria" w:hAnsi="Cambria" w:cs="Calibri"/>
          <w:b/>
          <w:bCs/>
          <w:color w:val="000000"/>
          <w:sz w:val="22"/>
          <w:szCs w:val="22"/>
        </w:rPr>
      </w:pPr>
      <w:r w:rsidRPr="000C24AA">
        <w:rPr>
          <w:rFonts w:ascii="Cambria" w:hAnsi="Cambria" w:cs="Calibri"/>
          <w:b/>
          <w:bCs/>
          <w:color w:val="000000"/>
          <w:sz w:val="22"/>
          <w:szCs w:val="22"/>
        </w:rPr>
        <w:t xml:space="preserve">Understanding </w:t>
      </w:r>
      <w:r w:rsidR="000C24AA">
        <w:rPr>
          <w:rFonts w:ascii="Cambria" w:hAnsi="Cambria" w:cs="Calibri"/>
          <w:b/>
          <w:bCs/>
          <w:color w:val="000000"/>
          <w:sz w:val="22"/>
          <w:szCs w:val="22"/>
        </w:rPr>
        <w:t>c</w:t>
      </w:r>
      <w:r w:rsidRPr="000C24AA">
        <w:rPr>
          <w:rFonts w:ascii="Cambria" w:hAnsi="Cambria" w:cs="Calibri"/>
          <w:b/>
          <w:bCs/>
          <w:color w:val="000000"/>
          <w:sz w:val="22"/>
          <w:szCs w:val="22"/>
        </w:rPr>
        <w:t>ommunity </w:t>
      </w:r>
      <w:r w:rsidR="000C24AA">
        <w:rPr>
          <w:rStyle w:val="markve3gcbrbe"/>
          <w:rFonts w:ascii="Cambria" w:hAnsi="Cambria" w:cs="Calibri"/>
          <w:b/>
          <w:bCs/>
          <w:color w:val="000000"/>
          <w:sz w:val="22"/>
          <w:szCs w:val="22"/>
          <w:bdr w:val="none" w:sz="0" w:space="0" w:color="auto" w:frame="1"/>
        </w:rPr>
        <w:t>r</w:t>
      </w:r>
      <w:r w:rsidRPr="000C24AA">
        <w:rPr>
          <w:rStyle w:val="markve3gcbrbe"/>
          <w:rFonts w:ascii="Cambria" w:hAnsi="Cambria" w:cs="Calibri"/>
          <w:b/>
          <w:bCs/>
          <w:color w:val="000000"/>
          <w:sz w:val="22"/>
          <w:szCs w:val="22"/>
          <w:bdr w:val="none" w:sz="0" w:space="0" w:color="auto" w:frame="1"/>
        </w:rPr>
        <w:t>esilience</w:t>
      </w:r>
      <w:r w:rsidRPr="000C24AA">
        <w:rPr>
          <w:rFonts w:ascii="Cambria" w:hAnsi="Cambria" w:cs="Calibri"/>
          <w:b/>
          <w:bCs/>
          <w:color w:val="000000"/>
          <w:sz w:val="22"/>
          <w:szCs w:val="22"/>
        </w:rPr>
        <w:t xml:space="preserve"> through the </w:t>
      </w:r>
      <w:r w:rsidR="000C24AA">
        <w:rPr>
          <w:rFonts w:ascii="Cambria" w:hAnsi="Cambria" w:cs="Calibri"/>
          <w:b/>
          <w:bCs/>
          <w:color w:val="000000"/>
          <w:sz w:val="22"/>
          <w:szCs w:val="22"/>
        </w:rPr>
        <w:t>p</w:t>
      </w:r>
      <w:r w:rsidRPr="000C24AA">
        <w:rPr>
          <w:rFonts w:ascii="Cambria" w:hAnsi="Cambria" w:cs="Calibri"/>
          <w:b/>
          <w:bCs/>
          <w:color w:val="000000"/>
          <w:sz w:val="22"/>
          <w:szCs w:val="22"/>
        </w:rPr>
        <w:t xml:space="preserve">erspective of </w:t>
      </w:r>
      <w:r w:rsidR="000C24AA">
        <w:rPr>
          <w:rFonts w:ascii="Cambria" w:hAnsi="Cambria" w:cs="Calibri"/>
          <w:b/>
          <w:bCs/>
          <w:color w:val="000000"/>
          <w:sz w:val="22"/>
          <w:szCs w:val="22"/>
        </w:rPr>
        <w:t>c</w:t>
      </w:r>
      <w:r w:rsidRPr="000C24AA">
        <w:rPr>
          <w:rFonts w:ascii="Cambria" w:hAnsi="Cambria" w:cs="Calibri"/>
          <w:b/>
          <w:bCs/>
          <w:color w:val="000000"/>
          <w:sz w:val="22"/>
          <w:szCs w:val="22"/>
        </w:rPr>
        <w:t xml:space="preserve">ultural </w:t>
      </w:r>
      <w:proofErr w:type="spellStart"/>
      <w:r w:rsidRPr="000C24AA">
        <w:rPr>
          <w:rFonts w:ascii="Cambria" w:hAnsi="Cambria" w:cs="Calibri"/>
          <w:b/>
          <w:bCs/>
          <w:color w:val="000000"/>
          <w:sz w:val="22"/>
          <w:szCs w:val="22"/>
        </w:rPr>
        <w:t>H</w:t>
      </w:r>
      <w:r w:rsidR="000C24AA">
        <w:rPr>
          <w:rFonts w:ascii="Cambria" w:hAnsi="Cambria" w:cs="Calibri"/>
          <w:b/>
          <w:bCs/>
          <w:color w:val="000000"/>
          <w:sz w:val="22"/>
          <w:szCs w:val="22"/>
        </w:rPr>
        <w:t>h</w:t>
      </w:r>
      <w:r w:rsidRPr="000C24AA">
        <w:rPr>
          <w:rFonts w:ascii="Cambria" w:hAnsi="Cambria" w:cs="Calibri"/>
          <w:b/>
          <w:bCs/>
          <w:color w:val="000000"/>
          <w:sz w:val="22"/>
          <w:szCs w:val="22"/>
        </w:rPr>
        <w:t>eritage</w:t>
      </w:r>
      <w:proofErr w:type="spellEnd"/>
    </w:p>
    <w:p w14:paraId="6C9EBFC0" w14:textId="77777777" w:rsidR="004959A8" w:rsidRPr="004959A8" w:rsidRDefault="009179CA" w:rsidP="000C24AA">
      <w:pPr>
        <w:jc w:val="center"/>
        <w:rPr>
          <w:rFonts w:ascii="Cambria" w:hAnsi="Cambria"/>
          <w:sz w:val="22"/>
          <w:szCs w:val="22"/>
          <w:lang w:val="cs-CZ"/>
        </w:rPr>
      </w:pPr>
      <w:r w:rsidRPr="004959A8">
        <w:rPr>
          <w:rFonts w:ascii="Cambria" w:hAnsi="Cambria"/>
          <w:sz w:val="22"/>
          <w:szCs w:val="22"/>
        </w:rPr>
        <w:t xml:space="preserve">Alexandra </w:t>
      </w:r>
      <w:proofErr w:type="spellStart"/>
      <w:r w:rsidRPr="004959A8">
        <w:rPr>
          <w:rFonts w:ascii="Cambria" w:hAnsi="Cambria"/>
          <w:sz w:val="22"/>
          <w:szCs w:val="22"/>
        </w:rPr>
        <w:t>Bitušíková</w:t>
      </w:r>
      <w:proofErr w:type="spellEnd"/>
      <w:r w:rsidR="004959A8" w:rsidRPr="004959A8">
        <w:rPr>
          <w:rFonts w:ascii="Cambria" w:hAnsi="Cambria"/>
          <w:sz w:val="22"/>
          <w:szCs w:val="22"/>
        </w:rPr>
        <w:t xml:space="preserve"> (WP3; </w:t>
      </w:r>
      <w:r w:rsidR="004959A8" w:rsidRPr="004959A8">
        <w:rPr>
          <w:rFonts w:ascii="Cambria" w:hAnsi="Cambria" w:cs="Calibri"/>
          <w:color w:val="000000"/>
          <w:sz w:val="22"/>
          <w:szCs w:val="22"/>
          <w:shd w:val="clear" w:color="auto" w:fill="FFFFFF"/>
        </w:rPr>
        <w:t xml:space="preserve">University of Matej Bel in </w:t>
      </w:r>
      <w:proofErr w:type="spellStart"/>
      <w:r w:rsidR="004959A8" w:rsidRPr="004959A8">
        <w:rPr>
          <w:rFonts w:ascii="Cambria" w:hAnsi="Cambria" w:cs="Calibri"/>
          <w:color w:val="000000"/>
          <w:sz w:val="22"/>
          <w:szCs w:val="22"/>
          <w:shd w:val="clear" w:color="auto" w:fill="FFFFFF"/>
        </w:rPr>
        <w:t>Banska</w:t>
      </w:r>
      <w:proofErr w:type="spellEnd"/>
      <w:r w:rsidR="004959A8" w:rsidRPr="004959A8">
        <w:rPr>
          <w:rFonts w:ascii="Cambria" w:hAnsi="Cambria" w:cs="Calibri"/>
          <w:color w:val="000000"/>
          <w:sz w:val="22"/>
          <w:szCs w:val="22"/>
          <w:shd w:val="clear" w:color="auto" w:fill="FFFFFF"/>
        </w:rPr>
        <w:t xml:space="preserve"> </w:t>
      </w:r>
      <w:proofErr w:type="spellStart"/>
      <w:r w:rsidR="004959A8" w:rsidRPr="004959A8">
        <w:rPr>
          <w:rFonts w:ascii="Cambria" w:hAnsi="Cambria" w:cs="Calibri"/>
          <w:color w:val="000000"/>
          <w:sz w:val="22"/>
          <w:szCs w:val="22"/>
          <w:shd w:val="clear" w:color="auto" w:fill="FFFFFF"/>
        </w:rPr>
        <w:t>Bystrica</w:t>
      </w:r>
      <w:proofErr w:type="spellEnd"/>
      <w:r w:rsidR="004959A8" w:rsidRPr="004959A8">
        <w:rPr>
          <w:rFonts w:ascii="Cambria" w:hAnsi="Cambria" w:cs="Calibri"/>
          <w:color w:val="000000"/>
          <w:sz w:val="22"/>
          <w:szCs w:val="22"/>
          <w:shd w:val="clear" w:color="auto" w:fill="FFFFFF"/>
        </w:rPr>
        <w:t>)</w:t>
      </w:r>
    </w:p>
    <w:p w14:paraId="212F0A16" w14:textId="77777777" w:rsidR="004959A8" w:rsidRPr="004959A8" w:rsidRDefault="009179CA" w:rsidP="000C24AA">
      <w:pPr>
        <w:jc w:val="center"/>
        <w:rPr>
          <w:rFonts w:ascii="Cambria" w:hAnsi="Cambria"/>
          <w:bCs/>
          <w:noProof/>
          <w:sz w:val="22"/>
          <w:szCs w:val="22"/>
          <w:lang w:val="cs-CZ"/>
        </w:rPr>
      </w:pPr>
      <w:r w:rsidRPr="004959A8">
        <w:rPr>
          <w:rFonts w:ascii="Cambria" w:hAnsi="Cambria"/>
          <w:sz w:val="22"/>
          <w:szCs w:val="22"/>
        </w:rPr>
        <w:t xml:space="preserve"> Jaroslav Ira, Jiří Janáč, Linda Kovářová</w:t>
      </w:r>
      <w:r w:rsidR="004959A8" w:rsidRPr="004959A8">
        <w:rPr>
          <w:rFonts w:ascii="Cambria" w:hAnsi="Cambria"/>
          <w:sz w:val="22"/>
          <w:szCs w:val="22"/>
        </w:rPr>
        <w:t xml:space="preserve"> (WP3; </w:t>
      </w:r>
      <w:r w:rsidR="004959A8" w:rsidRPr="004959A8">
        <w:rPr>
          <w:rFonts w:ascii="Cambria" w:hAnsi="Cambria"/>
          <w:bCs/>
          <w:noProof/>
          <w:sz w:val="22"/>
          <w:szCs w:val="22"/>
        </w:rPr>
        <w:t>Institute of World History)</w:t>
      </w:r>
    </w:p>
    <w:p w14:paraId="24A29FAC" w14:textId="77777777" w:rsidR="009179CA" w:rsidRPr="004959A8" w:rsidRDefault="009179CA" w:rsidP="000C24AA">
      <w:pPr>
        <w:rPr>
          <w:rFonts w:ascii="Cambria" w:hAnsi="Cambria"/>
          <w:sz w:val="22"/>
          <w:szCs w:val="22"/>
        </w:rPr>
      </w:pPr>
    </w:p>
    <w:p w14:paraId="0DD44D5F" w14:textId="77777777" w:rsidR="004959A8" w:rsidRPr="004959A8" w:rsidRDefault="009179CA" w:rsidP="00A3574E">
      <w:pPr>
        <w:jc w:val="both"/>
        <w:rPr>
          <w:rFonts w:ascii="Cambria" w:hAnsi="Cambria"/>
          <w:sz w:val="22"/>
          <w:szCs w:val="22"/>
        </w:rPr>
      </w:pPr>
      <w:r w:rsidRPr="004959A8">
        <w:rPr>
          <w:rFonts w:ascii="Cambria" w:hAnsi="Cambria"/>
          <w:sz w:val="22"/>
          <w:szCs w:val="22"/>
        </w:rPr>
        <w:t>Our contribution focuses on the concept of community resilience in marginalized spaces. Pressures related to economic globalization and its fundamental impact on social–spatial inequalities pose diverse challenges to peripheral environments such as small towns, border regions and rural areas. Facing growing political extremism, social exclusion, urban shrinkage or economic downturn, local communities develop strategies and practices aimed at strengthening social cohesion. Cultural heritage production, i.e. mobilization, performance and reproduction of traditional local identities, represents a vital component of such strategies to survive and recover from adverse conditions. The hypothesis promoted and tested (to a limited extent) in this paper proposes that heritage activities (understood in broad terms) are central for building more resilient communities facing marginalization.</w:t>
      </w:r>
    </w:p>
    <w:p w14:paraId="24A8FEB8" w14:textId="77777777" w:rsidR="005661AD" w:rsidRDefault="005661AD" w:rsidP="00A3574E">
      <w:pPr>
        <w:spacing w:before="240"/>
        <w:jc w:val="center"/>
        <w:rPr>
          <w:rFonts w:ascii="Cambria" w:hAnsi="Cambria"/>
          <w:color w:val="000000"/>
          <w:sz w:val="22"/>
          <w:szCs w:val="22"/>
          <w:lang w:val="en-GB"/>
        </w:rPr>
      </w:pPr>
      <w:r>
        <w:rPr>
          <w:rFonts w:ascii="Cambria" w:hAnsi="Cambria"/>
          <w:b/>
          <w:bCs/>
          <w:color w:val="000000"/>
          <w:sz w:val="22"/>
          <w:szCs w:val="22"/>
          <w:lang w:val="en-GB"/>
        </w:rPr>
        <w:t>Even more bias than we expected – online survey of the Czech elderly</w:t>
      </w:r>
    </w:p>
    <w:p w14:paraId="02409E15" w14:textId="77777777" w:rsidR="00AA145C" w:rsidRPr="004959A8" w:rsidRDefault="00412ADD" w:rsidP="000C24AA">
      <w:pPr>
        <w:jc w:val="center"/>
        <w:rPr>
          <w:rStyle w:val="apple-converted-space"/>
          <w:rFonts w:ascii="Cambria" w:hAnsi="Cambria" w:cs="Calibri"/>
          <w:iCs/>
          <w:color w:val="000000"/>
          <w:sz w:val="22"/>
          <w:szCs w:val="22"/>
        </w:rPr>
      </w:pPr>
      <w:r w:rsidRPr="004959A8">
        <w:rPr>
          <w:rFonts w:ascii="Cambria" w:hAnsi="Cambria"/>
          <w:iCs/>
          <w:noProof/>
          <w:sz w:val="22"/>
          <w:szCs w:val="22"/>
        </w:rPr>
        <w:t>Eva Dragomirecká (WP2</w:t>
      </w:r>
      <w:r w:rsidRPr="004959A8">
        <w:rPr>
          <w:rFonts w:ascii="Cambria" w:hAnsi="Cambria" w:cs="Calibri"/>
          <w:iCs/>
          <w:color w:val="000000"/>
          <w:sz w:val="22"/>
          <w:szCs w:val="22"/>
        </w:rPr>
        <w:t>;</w:t>
      </w:r>
      <w:r w:rsidR="0055689C" w:rsidRPr="004959A8">
        <w:rPr>
          <w:rFonts w:ascii="Cambria" w:hAnsi="Cambria" w:cs="Calibri"/>
          <w:iCs/>
          <w:color w:val="000000"/>
          <w:sz w:val="22"/>
          <w:szCs w:val="22"/>
        </w:rPr>
        <w:t xml:space="preserve"> Department of Psychology)</w:t>
      </w:r>
    </w:p>
    <w:p w14:paraId="03FD38D1" w14:textId="77777777" w:rsidR="00412ADD" w:rsidRPr="004959A8" w:rsidRDefault="00AA145C" w:rsidP="000C24AA">
      <w:pPr>
        <w:jc w:val="center"/>
        <w:rPr>
          <w:rFonts w:ascii="Cambria" w:hAnsi="Cambria" w:cs="Calibri"/>
          <w:color w:val="000000"/>
          <w:sz w:val="22"/>
          <w:szCs w:val="22"/>
        </w:rPr>
      </w:pPr>
      <w:r w:rsidRPr="004959A8">
        <w:rPr>
          <w:rFonts w:ascii="Cambria" w:hAnsi="Cambria" w:cs="Calibri"/>
          <w:color w:val="000000"/>
          <w:sz w:val="22"/>
          <w:szCs w:val="22"/>
        </w:rPr>
        <w:t>Hana Georgi (Prague College of Psychosocial Studies)</w:t>
      </w:r>
    </w:p>
    <w:p w14:paraId="24794B59" w14:textId="77777777" w:rsidR="001D32A0" w:rsidRPr="004959A8" w:rsidRDefault="001D32A0" w:rsidP="000C24AA">
      <w:pPr>
        <w:rPr>
          <w:rFonts w:ascii="Cambria" w:hAnsi="Cambria" w:cs="Calibri"/>
          <w:color w:val="000000"/>
          <w:sz w:val="22"/>
          <w:szCs w:val="22"/>
        </w:rPr>
      </w:pPr>
    </w:p>
    <w:p w14:paraId="5C4C6040" w14:textId="77777777" w:rsidR="004959A8" w:rsidRPr="00A3574E" w:rsidRDefault="005661AD" w:rsidP="00A3574E">
      <w:pPr>
        <w:autoSpaceDE w:val="0"/>
        <w:autoSpaceDN w:val="0"/>
        <w:jc w:val="both"/>
        <w:rPr>
          <w:rFonts w:ascii="Cambria" w:hAnsi="Cambria"/>
          <w:sz w:val="22"/>
          <w:szCs w:val="22"/>
          <w:lang w:val="en-GB"/>
        </w:rPr>
      </w:pPr>
      <w:r>
        <w:rPr>
          <w:rFonts w:ascii="Cambria" w:hAnsi="Cambria"/>
          <w:sz w:val="22"/>
          <w:szCs w:val="22"/>
          <w:lang w:val="en-GB"/>
        </w:rPr>
        <w:t>In recent years, there have been discuss</w:t>
      </w:r>
      <w:r w:rsidR="00AB13F7">
        <w:rPr>
          <w:rFonts w:ascii="Cambria" w:hAnsi="Cambria"/>
          <w:sz w:val="22"/>
          <w:szCs w:val="22"/>
          <w:lang w:val="en-GB"/>
        </w:rPr>
        <w:t>ions</w:t>
      </w:r>
      <w:r>
        <w:rPr>
          <w:rFonts w:ascii="Cambria" w:hAnsi="Cambria"/>
          <w:sz w:val="22"/>
          <w:szCs w:val="22"/>
          <w:lang w:val="en-GB"/>
        </w:rPr>
        <w:t xml:space="preserve"> (e.g., Nielsen et al., 2017) </w:t>
      </w:r>
      <w:r w:rsidR="00AB13F7">
        <w:rPr>
          <w:rFonts w:ascii="Cambria" w:hAnsi="Cambria"/>
          <w:sz w:val="22"/>
          <w:szCs w:val="22"/>
          <w:lang w:val="en-GB"/>
        </w:rPr>
        <w:t xml:space="preserve">of </w:t>
      </w:r>
      <w:r>
        <w:rPr>
          <w:rFonts w:ascii="Cambria" w:hAnsi="Cambria"/>
          <w:sz w:val="22"/>
          <w:szCs w:val="22"/>
          <w:lang w:val="en-GB"/>
        </w:rPr>
        <w:t>the general validity of psychological findings, pointing out that most studies are based on data from WEIRD (Western, educated, industrialized, rich, and democratic) populations. This work is another contribution to the problematization of the generalization of research results, due to the data collection methods used. We compared the results of two questionnaire surveys of well-being among the elderly Czech population aged 65 and over. The instruments used were the same, they included measures of life satisfaction, psychopathology, subjective health status, physical activity and sociodemographic characteristics, only the data collection technique differed. The results showed what part of the senior population we get online compared to personal administration and how the results obtained in this way can be biased.</w:t>
      </w:r>
    </w:p>
    <w:p w14:paraId="79155A6A" w14:textId="77777777" w:rsidR="00CD420E" w:rsidRPr="001D32A0" w:rsidRDefault="00D40E94" w:rsidP="00A3574E">
      <w:pPr>
        <w:spacing w:before="240"/>
        <w:jc w:val="center"/>
        <w:rPr>
          <w:rFonts w:ascii="Cambria" w:hAnsi="Cambria"/>
          <w:b/>
          <w:bCs/>
          <w:iCs/>
          <w:noProof/>
          <w:sz w:val="22"/>
          <w:szCs w:val="22"/>
        </w:rPr>
      </w:pPr>
      <w:r w:rsidRPr="001D32A0">
        <w:rPr>
          <w:rFonts w:ascii="Cambria" w:hAnsi="Cambria"/>
          <w:b/>
          <w:bCs/>
          <w:iCs/>
          <w:noProof/>
          <w:sz w:val="22"/>
          <w:szCs w:val="22"/>
        </w:rPr>
        <w:t>Romani oikonymy</w:t>
      </w:r>
      <w:r w:rsidR="007C4FE4" w:rsidRPr="001D32A0">
        <w:rPr>
          <w:rFonts w:ascii="Cambria" w:hAnsi="Cambria"/>
          <w:b/>
          <w:bCs/>
          <w:iCs/>
          <w:noProof/>
          <w:sz w:val="22"/>
          <w:szCs w:val="22"/>
        </w:rPr>
        <w:t xml:space="preserve"> a</w:t>
      </w:r>
      <w:r w:rsidRPr="001D32A0">
        <w:rPr>
          <w:rFonts w:ascii="Cambria" w:hAnsi="Cambria"/>
          <w:b/>
          <w:bCs/>
          <w:iCs/>
          <w:noProof/>
          <w:sz w:val="22"/>
          <w:szCs w:val="22"/>
        </w:rPr>
        <w:t>nd</w:t>
      </w:r>
      <w:r w:rsidR="007C4FE4" w:rsidRPr="001D32A0">
        <w:rPr>
          <w:rFonts w:ascii="Cambria" w:hAnsi="Cambria"/>
          <w:b/>
          <w:bCs/>
          <w:iCs/>
          <w:noProof/>
          <w:sz w:val="22"/>
          <w:szCs w:val="22"/>
        </w:rPr>
        <w:t xml:space="preserve"> perspe</w:t>
      </w:r>
      <w:r w:rsidRPr="001D32A0">
        <w:rPr>
          <w:rFonts w:ascii="Cambria" w:hAnsi="Cambria"/>
          <w:b/>
          <w:bCs/>
          <w:iCs/>
          <w:noProof/>
          <w:sz w:val="22"/>
          <w:szCs w:val="22"/>
        </w:rPr>
        <w:t>ctives of its research</w:t>
      </w:r>
    </w:p>
    <w:p w14:paraId="433A90E4" w14:textId="77777777" w:rsidR="00CD420E" w:rsidRPr="001D32A0" w:rsidRDefault="008E1F06" w:rsidP="000C24AA">
      <w:pPr>
        <w:jc w:val="center"/>
        <w:rPr>
          <w:rFonts w:ascii="Cambria" w:hAnsi="Cambria"/>
          <w:noProof/>
          <w:sz w:val="22"/>
          <w:szCs w:val="22"/>
        </w:rPr>
      </w:pPr>
      <w:r w:rsidRPr="001D32A0">
        <w:rPr>
          <w:rFonts w:ascii="Cambria" w:hAnsi="Cambria"/>
          <w:iCs/>
          <w:noProof/>
          <w:sz w:val="22"/>
          <w:szCs w:val="22"/>
        </w:rPr>
        <w:t>Viktor Elšík</w:t>
      </w:r>
      <w:r w:rsidR="00AE3E6A" w:rsidRPr="001D32A0">
        <w:rPr>
          <w:rFonts w:ascii="Cambria" w:hAnsi="Cambria"/>
          <w:noProof/>
          <w:sz w:val="22"/>
          <w:szCs w:val="22"/>
        </w:rPr>
        <w:t xml:space="preserve"> </w:t>
      </w:r>
      <w:r w:rsidR="00412ADD" w:rsidRPr="001D32A0">
        <w:rPr>
          <w:rFonts w:ascii="Cambria" w:hAnsi="Cambria"/>
          <w:noProof/>
          <w:sz w:val="22"/>
          <w:szCs w:val="22"/>
        </w:rPr>
        <w:t>(WP1</w:t>
      </w:r>
      <w:r w:rsidR="00412ADD" w:rsidRPr="001D32A0">
        <w:rPr>
          <w:rFonts w:ascii="Cambria" w:hAnsi="Cambria" w:cs="Calibri"/>
          <w:color w:val="000000"/>
          <w:sz w:val="22"/>
          <w:szCs w:val="22"/>
        </w:rPr>
        <w:t>; Linguistics Department)</w:t>
      </w:r>
    </w:p>
    <w:p w14:paraId="38D54263" w14:textId="77777777" w:rsidR="001D32A0" w:rsidRDefault="001D32A0" w:rsidP="000C24AA">
      <w:pPr>
        <w:jc w:val="both"/>
        <w:rPr>
          <w:rFonts w:ascii="Cambria" w:hAnsi="Cambria"/>
          <w:bCs/>
          <w:noProof/>
          <w:sz w:val="22"/>
          <w:szCs w:val="22"/>
        </w:rPr>
      </w:pPr>
    </w:p>
    <w:p w14:paraId="68609559" w14:textId="77777777" w:rsidR="00235A29" w:rsidRPr="001D32A0" w:rsidRDefault="005D312A" w:rsidP="000C24AA">
      <w:pPr>
        <w:jc w:val="both"/>
        <w:rPr>
          <w:rFonts w:ascii="Cambria" w:hAnsi="Cambria"/>
          <w:bCs/>
          <w:noProof/>
          <w:sz w:val="22"/>
          <w:szCs w:val="22"/>
        </w:rPr>
      </w:pPr>
      <w:r w:rsidRPr="001D32A0">
        <w:rPr>
          <w:rFonts w:ascii="Cambria" w:hAnsi="Cambria"/>
          <w:bCs/>
          <w:noProof/>
          <w:sz w:val="22"/>
          <w:szCs w:val="22"/>
        </w:rPr>
        <w:t>R</w:t>
      </w:r>
      <w:r w:rsidR="00D40E94" w:rsidRPr="001D32A0">
        <w:rPr>
          <w:rFonts w:ascii="Cambria" w:hAnsi="Cambria"/>
          <w:bCs/>
          <w:noProof/>
          <w:sz w:val="22"/>
          <w:szCs w:val="22"/>
        </w:rPr>
        <w:t xml:space="preserve">esearch </w:t>
      </w:r>
      <w:r w:rsidR="001D32A0">
        <w:rPr>
          <w:rFonts w:ascii="Cambria" w:hAnsi="Cambria"/>
          <w:bCs/>
          <w:noProof/>
          <w:sz w:val="22"/>
          <w:szCs w:val="22"/>
        </w:rPr>
        <w:t>of</w:t>
      </w:r>
      <w:r w:rsidR="00D40E94" w:rsidRPr="001D32A0">
        <w:rPr>
          <w:rFonts w:ascii="Cambria" w:hAnsi="Cambria"/>
          <w:bCs/>
          <w:noProof/>
          <w:sz w:val="22"/>
          <w:szCs w:val="22"/>
        </w:rPr>
        <w:t xml:space="preserve"> </w:t>
      </w:r>
      <w:r w:rsidR="00AB7323" w:rsidRPr="001D32A0">
        <w:rPr>
          <w:rFonts w:ascii="Cambria" w:hAnsi="Cambria"/>
          <w:bCs/>
          <w:noProof/>
          <w:sz w:val="22"/>
          <w:szCs w:val="22"/>
        </w:rPr>
        <w:t xml:space="preserve">Romani oikonyms, i.e. </w:t>
      </w:r>
      <w:r w:rsidR="00D40E94" w:rsidRPr="001D32A0">
        <w:rPr>
          <w:rFonts w:ascii="Cambria" w:hAnsi="Cambria"/>
          <w:bCs/>
          <w:noProof/>
          <w:sz w:val="22"/>
          <w:szCs w:val="22"/>
        </w:rPr>
        <w:t>proper names of inhabited places (</w:t>
      </w:r>
      <w:r w:rsidR="00AB7323" w:rsidRPr="001D32A0">
        <w:rPr>
          <w:rFonts w:ascii="Cambria" w:hAnsi="Cambria"/>
          <w:bCs/>
          <w:noProof/>
          <w:sz w:val="22"/>
          <w:szCs w:val="22"/>
        </w:rPr>
        <w:t xml:space="preserve">esp. </w:t>
      </w:r>
      <w:r w:rsidR="00D40E94" w:rsidRPr="001D32A0">
        <w:rPr>
          <w:rFonts w:ascii="Cambria" w:hAnsi="Cambria"/>
          <w:bCs/>
          <w:noProof/>
          <w:sz w:val="22"/>
          <w:szCs w:val="22"/>
        </w:rPr>
        <w:t>towns</w:t>
      </w:r>
      <w:r w:rsidR="00AB7323" w:rsidRPr="001D32A0">
        <w:rPr>
          <w:rFonts w:ascii="Cambria" w:hAnsi="Cambria"/>
          <w:bCs/>
          <w:noProof/>
          <w:sz w:val="22"/>
          <w:szCs w:val="22"/>
        </w:rPr>
        <w:t xml:space="preserve"> and</w:t>
      </w:r>
      <w:r w:rsidRPr="001D32A0">
        <w:rPr>
          <w:rFonts w:ascii="Cambria" w:hAnsi="Cambria"/>
          <w:bCs/>
          <w:noProof/>
          <w:sz w:val="22"/>
          <w:szCs w:val="22"/>
        </w:rPr>
        <w:t xml:space="preserve"> </w:t>
      </w:r>
      <w:r w:rsidR="00D40E94" w:rsidRPr="001D32A0">
        <w:rPr>
          <w:rFonts w:ascii="Cambria" w:hAnsi="Cambria"/>
          <w:bCs/>
          <w:noProof/>
          <w:sz w:val="22"/>
          <w:szCs w:val="22"/>
        </w:rPr>
        <w:t>villages)</w:t>
      </w:r>
      <w:r w:rsidR="00AB7323" w:rsidRPr="001D32A0">
        <w:rPr>
          <w:rFonts w:ascii="Cambria" w:hAnsi="Cambria"/>
          <w:bCs/>
          <w:noProof/>
          <w:sz w:val="22"/>
          <w:szCs w:val="22"/>
        </w:rPr>
        <w:t>,</w:t>
      </w:r>
      <w:r w:rsidR="00D40E94" w:rsidRPr="001D32A0">
        <w:rPr>
          <w:rFonts w:ascii="Cambria" w:hAnsi="Cambria"/>
          <w:bCs/>
          <w:noProof/>
          <w:sz w:val="22"/>
          <w:szCs w:val="22"/>
        </w:rPr>
        <w:t xml:space="preserve"> is still in its infancy. The aim of this paper is to outline various </w:t>
      </w:r>
      <w:r w:rsidR="00235A29" w:rsidRPr="001D32A0">
        <w:rPr>
          <w:rFonts w:ascii="Cambria" w:hAnsi="Cambria"/>
          <w:bCs/>
          <w:noProof/>
          <w:sz w:val="22"/>
          <w:szCs w:val="22"/>
        </w:rPr>
        <w:t xml:space="preserve">research </w:t>
      </w:r>
      <w:r w:rsidR="00D40E94" w:rsidRPr="001D32A0">
        <w:rPr>
          <w:rFonts w:ascii="Cambria" w:hAnsi="Cambria"/>
          <w:bCs/>
          <w:noProof/>
          <w:sz w:val="22"/>
          <w:szCs w:val="22"/>
        </w:rPr>
        <w:t>perspectives</w:t>
      </w:r>
      <w:r w:rsidRPr="001D32A0">
        <w:rPr>
          <w:rFonts w:ascii="Cambria" w:hAnsi="Cambria"/>
          <w:bCs/>
          <w:noProof/>
          <w:sz w:val="22"/>
          <w:szCs w:val="22"/>
        </w:rPr>
        <w:t xml:space="preserve"> on Romani oikonymy</w:t>
      </w:r>
      <w:r w:rsidR="00235A29" w:rsidRPr="001D32A0">
        <w:rPr>
          <w:rFonts w:ascii="Cambria" w:hAnsi="Cambria"/>
          <w:bCs/>
          <w:noProof/>
          <w:sz w:val="22"/>
          <w:szCs w:val="22"/>
        </w:rPr>
        <w:t xml:space="preserve">, </w:t>
      </w:r>
      <w:r w:rsidR="0023436E" w:rsidRPr="001D32A0">
        <w:rPr>
          <w:rFonts w:ascii="Cambria" w:hAnsi="Cambria"/>
          <w:bCs/>
          <w:noProof/>
          <w:sz w:val="22"/>
          <w:szCs w:val="22"/>
        </w:rPr>
        <w:t>based</w:t>
      </w:r>
      <w:r w:rsidRPr="001D32A0">
        <w:rPr>
          <w:rFonts w:ascii="Cambria" w:hAnsi="Cambria"/>
          <w:bCs/>
          <w:noProof/>
          <w:sz w:val="22"/>
          <w:szCs w:val="22"/>
        </w:rPr>
        <w:t xml:space="preserve"> on data from Slovakia</w:t>
      </w:r>
      <w:r w:rsidR="0023436E" w:rsidRPr="001D32A0">
        <w:rPr>
          <w:rFonts w:ascii="Cambria" w:hAnsi="Cambria"/>
          <w:bCs/>
          <w:noProof/>
          <w:sz w:val="22"/>
          <w:szCs w:val="22"/>
        </w:rPr>
        <w:t xml:space="preserve"> and focusi</w:t>
      </w:r>
      <w:r w:rsidR="00F11822" w:rsidRPr="001D32A0">
        <w:rPr>
          <w:rFonts w:ascii="Cambria" w:hAnsi="Cambria"/>
          <w:bCs/>
          <w:noProof/>
          <w:sz w:val="22"/>
          <w:szCs w:val="22"/>
        </w:rPr>
        <w:t>n</w:t>
      </w:r>
      <w:r w:rsidR="0023436E" w:rsidRPr="001D32A0">
        <w:rPr>
          <w:rFonts w:ascii="Cambria" w:hAnsi="Cambria"/>
          <w:bCs/>
          <w:noProof/>
          <w:sz w:val="22"/>
          <w:szCs w:val="22"/>
        </w:rPr>
        <w:t>g on the following topics:</w:t>
      </w:r>
    </w:p>
    <w:p w14:paraId="5C4E58D0" w14:textId="77777777" w:rsidR="00AE77DB" w:rsidRPr="001D32A0" w:rsidRDefault="00AE77DB" w:rsidP="000C24AA">
      <w:pPr>
        <w:numPr>
          <w:ilvl w:val="0"/>
          <w:numId w:val="16"/>
        </w:numPr>
        <w:jc w:val="both"/>
        <w:rPr>
          <w:rFonts w:ascii="Cambria" w:hAnsi="Cambria"/>
          <w:bCs/>
          <w:noProof/>
          <w:sz w:val="22"/>
          <w:szCs w:val="22"/>
        </w:rPr>
      </w:pPr>
      <w:r w:rsidRPr="001D32A0">
        <w:rPr>
          <w:rFonts w:ascii="Cambria" w:hAnsi="Cambria"/>
          <w:bCs/>
          <w:noProof/>
          <w:sz w:val="22"/>
          <w:szCs w:val="22"/>
        </w:rPr>
        <w:t xml:space="preserve">Romani oikonyms in Slovakia are completely ignored by the administration and only formally and fictitiously represented in </w:t>
      </w:r>
      <w:r w:rsidR="00AB13F7">
        <w:rPr>
          <w:rFonts w:ascii="Cambria" w:hAnsi="Cambria"/>
          <w:bCs/>
          <w:noProof/>
          <w:sz w:val="22"/>
          <w:szCs w:val="22"/>
        </w:rPr>
        <w:t xml:space="preserve">the </w:t>
      </w:r>
      <w:r w:rsidRPr="001D32A0">
        <w:rPr>
          <w:rFonts w:ascii="Cambria" w:hAnsi="Cambria"/>
          <w:bCs/>
          <w:noProof/>
          <w:sz w:val="22"/>
          <w:szCs w:val="22"/>
        </w:rPr>
        <w:t>public space. I will outline the possibilities of investigating this phenomenon from the perspective of political onomastics.</w:t>
      </w:r>
    </w:p>
    <w:p w14:paraId="44B20977" w14:textId="77777777" w:rsidR="00D40E94" w:rsidRPr="001D32A0" w:rsidRDefault="00D40E94" w:rsidP="000C24AA">
      <w:pPr>
        <w:numPr>
          <w:ilvl w:val="0"/>
          <w:numId w:val="16"/>
        </w:numPr>
        <w:jc w:val="both"/>
        <w:rPr>
          <w:rFonts w:ascii="Cambria" w:hAnsi="Cambria"/>
          <w:bCs/>
          <w:noProof/>
          <w:sz w:val="22"/>
          <w:szCs w:val="22"/>
        </w:rPr>
      </w:pPr>
      <w:r w:rsidRPr="001D32A0">
        <w:rPr>
          <w:rFonts w:ascii="Cambria" w:hAnsi="Cambria"/>
          <w:bCs/>
          <w:noProof/>
          <w:sz w:val="22"/>
          <w:szCs w:val="22"/>
        </w:rPr>
        <w:t xml:space="preserve">Oikonyms in </w:t>
      </w:r>
      <w:r w:rsidR="00AA5A56" w:rsidRPr="001D32A0">
        <w:rPr>
          <w:rFonts w:ascii="Cambria" w:hAnsi="Cambria"/>
          <w:bCs/>
          <w:noProof/>
          <w:sz w:val="22"/>
          <w:szCs w:val="22"/>
        </w:rPr>
        <w:t xml:space="preserve">the </w:t>
      </w:r>
      <w:r w:rsidRPr="001D32A0">
        <w:rPr>
          <w:rFonts w:ascii="Cambria" w:hAnsi="Cambria"/>
          <w:bCs/>
          <w:noProof/>
          <w:sz w:val="22"/>
          <w:szCs w:val="22"/>
        </w:rPr>
        <w:t xml:space="preserve">Romani </w:t>
      </w:r>
      <w:r w:rsidR="00AA5A56" w:rsidRPr="001D32A0">
        <w:rPr>
          <w:rFonts w:ascii="Cambria" w:hAnsi="Cambria"/>
          <w:bCs/>
          <w:noProof/>
          <w:sz w:val="22"/>
          <w:szCs w:val="22"/>
        </w:rPr>
        <w:t>varieties</w:t>
      </w:r>
      <w:r w:rsidRPr="001D32A0">
        <w:rPr>
          <w:rFonts w:ascii="Cambria" w:hAnsi="Cambria"/>
          <w:bCs/>
          <w:noProof/>
          <w:sz w:val="22"/>
          <w:szCs w:val="22"/>
        </w:rPr>
        <w:t xml:space="preserve"> </w:t>
      </w:r>
      <w:r w:rsidR="00AA5A56" w:rsidRPr="001D32A0">
        <w:rPr>
          <w:rFonts w:ascii="Cambria" w:hAnsi="Cambria"/>
          <w:bCs/>
          <w:noProof/>
          <w:sz w:val="22"/>
          <w:szCs w:val="22"/>
        </w:rPr>
        <w:t xml:space="preserve">of Slovakia </w:t>
      </w:r>
      <w:r w:rsidRPr="001D32A0">
        <w:rPr>
          <w:rFonts w:ascii="Cambria" w:hAnsi="Cambria"/>
          <w:bCs/>
          <w:noProof/>
          <w:sz w:val="22"/>
          <w:szCs w:val="22"/>
        </w:rPr>
        <w:t>are material (</w:t>
      </w:r>
      <w:r w:rsidR="00AE77DB" w:rsidRPr="001D32A0">
        <w:rPr>
          <w:rFonts w:ascii="Cambria" w:hAnsi="Cambria"/>
          <w:bCs/>
          <w:noProof/>
          <w:sz w:val="22"/>
          <w:szCs w:val="22"/>
        </w:rPr>
        <w:t>and</w:t>
      </w:r>
      <w:r w:rsidRPr="001D32A0">
        <w:rPr>
          <w:rFonts w:ascii="Cambria" w:hAnsi="Cambria"/>
          <w:bCs/>
          <w:noProof/>
          <w:sz w:val="22"/>
          <w:szCs w:val="22"/>
        </w:rPr>
        <w:t xml:space="preserve">, to a limited extent, structural) borrowings from their current or past contact languages. Romani </w:t>
      </w:r>
      <w:r w:rsidR="00AE77DB" w:rsidRPr="001D32A0">
        <w:rPr>
          <w:rFonts w:ascii="Cambria" w:hAnsi="Cambria"/>
          <w:bCs/>
          <w:noProof/>
          <w:sz w:val="22"/>
          <w:szCs w:val="22"/>
        </w:rPr>
        <w:t xml:space="preserve">often </w:t>
      </w:r>
      <w:r w:rsidR="00AE77DB" w:rsidRPr="001D32A0">
        <w:rPr>
          <w:rFonts w:ascii="Cambria" w:hAnsi="Cambria"/>
          <w:bCs/>
          <w:noProof/>
          <w:sz w:val="22"/>
          <w:szCs w:val="22"/>
        </w:rPr>
        <w:lastRenderedPageBreak/>
        <w:t>conserves</w:t>
      </w:r>
      <w:r w:rsidRPr="001D32A0">
        <w:rPr>
          <w:rFonts w:ascii="Cambria" w:hAnsi="Cambria"/>
          <w:bCs/>
          <w:noProof/>
          <w:sz w:val="22"/>
          <w:szCs w:val="22"/>
        </w:rPr>
        <w:t xml:space="preserve"> older oikonyms, especially </w:t>
      </w:r>
      <w:r w:rsidR="00AA5A56" w:rsidRPr="001D32A0">
        <w:rPr>
          <w:rFonts w:ascii="Cambria" w:hAnsi="Cambria"/>
          <w:bCs/>
          <w:noProof/>
          <w:sz w:val="22"/>
          <w:szCs w:val="22"/>
        </w:rPr>
        <w:t>loanwords from Hungarian</w:t>
      </w:r>
      <w:r w:rsidRPr="001D32A0">
        <w:rPr>
          <w:rFonts w:ascii="Cambria" w:hAnsi="Cambria"/>
          <w:bCs/>
          <w:noProof/>
          <w:sz w:val="22"/>
          <w:szCs w:val="22"/>
        </w:rPr>
        <w:t xml:space="preserve">, which are no longer used in the language of the local non-Romani population or in </w:t>
      </w:r>
      <w:r w:rsidR="00AE77DB" w:rsidRPr="001D32A0">
        <w:rPr>
          <w:rFonts w:ascii="Cambria" w:hAnsi="Cambria"/>
          <w:bCs/>
          <w:noProof/>
          <w:sz w:val="22"/>
          <w:szCs w:val="22"/>
        </w:rPr>
        <w:t xml:space="preserve">the </w:t>
      </w:r>
      <w:r w:rsidRPr="001D32A0">
        <w:rPr>
          <w:rFonts w:ascii="Cambria" w:hAnsi="Cambria"/>
          <w:bCs/>
          <w:noProof/>
          <w:sz w:val="22"/>
          <w:szCs w:val="22"/>
        </w:rPr>
        <w:t>current administrative usage</w:t>
      </w:r>
      <w:r w:rsidR="00AE77DB" w:rsidRPr="001D32A0">
        <w:rPr>
          <w:rFonts w:ascii="Cambria" w:hAnsi="Cambria"/>
          <w:bCs/>
          <w:noProof/>
          <w:sz w:val="22"/>
          <w:szCs w:val="22"/>
        </w:rPr>
        <w:t xml:space="preserve">. </w:t>
      </w:r>
      <w:r w:rsidR="007A2990" w:rsidRPr="001D32A0">
        <w:rPr>
          <w:rFonts w:ascii="Cambria" w:hAnsi="Cambria"/>
          <w:bCs/>
          <w:noProof/>
          <w:sz w:val="22"/>
          <w:szCs w:val="22"/>
        </w:rPr>
        <w:t>However, u</w:t>
      </w:r>
      <w:r w:rsidR="00AE77DB" w:rsidRPr="001D32A0">
        <w:rPr>
          <w:rFonts w:ascii="Cambria" w:hAnsi="Cambria"/>
          <w:bCs/>
          <w:noProof/>
          <w:sz w:val="22"/>
          <w:szCs w:val="22"/>
        </w:rPr>
        <w:t xml:space="preserve">nlike in some other Romani dialects, </w:t>
      </w:r>
      <w:r w:rsidRPr="001D32A0">
        <w:rPr>
          <w:rFonts w:ascii="Cambria" w:hAnsi="Cambria"/>
          <w:bCs/>
          <w:noProof/>
          <w:sz w:val="22"/>
          <w:szCs w:val="22"/>
        </w:rPr>
        <w:t xml:space="preserve">there are no cryptic </w:t>
      </w:r>
      <w:r w:rsidR="00AE77DB" w:rsidRPr="001D32A0">
        <w:rPr>
          <w:rFonts w:ascii="Cambria" w:hAnsi="Cambria"/>
          <w:bCs/>
          <w:noProof/>
          <w:sz w:val="22"/>
          <w:szCs w:val="22"/>
        </w:rPr>
        <w:t xml:space="preserve">oikonyms, i.e. names </w:t>
      </w:r>
      <w:r w:rsidRPr="001D32A0">
        <w:rPr>
          <w:rFonts w:ascii="Cambria" w:hAnsi="Cambria"/>
          <w:bCs/>
          <w:noProof/>
          <w:sz w:val="22"/>
          <w:szCs w:val="22"/>
        </w:rPr>
        <w:t>deliberately incomprehensible to the majority population. I will show how these different onomastic strategies may be related to different linguistic ideologies in different Romani speech communities.</w:t>
      </w:r>
    </w:p>
    <w:p w14:paraId="7D21F544" w14:textId="77777777" w:rsidR="004959A8" w:rsidRPr="00A3574E" w:rsidRDefault="00AE77DB" w:rsidP="000C24AA">
      <w:pPr>
        <w:numPr>
          <w:ilvl w:val="0"/>
          <w:numId w:val="16"/>
        </w:numPr>
        <w:jc w:val="both"/>
        <w:rPr>
          <w:rFonts w:ascii="Cambria" w:hAnsi="Cambria"/>
          <w:noProof/>
          <w:sz w:val="22"/>
          <w:szCs w:val="22"/>
        </w:rPr>
      </w:pPr>
      <w:r w:rsidRPr="001D32A0">
        <w:rPr>
          <w:rFonts w:ascii="Cambria" w:hAnsi="Cambria"/>
          <w:noProof/>
          <w:sz w:val="22"/>
          <w:szCs w:val="22"/>
        </w:rPr>
        <w:t xml:space="preserve">Romani oikonyms are not standardized and show a certain degree of variation. I will illustrate the factors of this variation, including sub-ethnically defined dialect, geographical distance, and the </w:t>
      </w:r>
      <w:r w:rsidR="007A2990" w:rsidRPr="001D32A0">
        <w:rPr>
          <w:rFonts w:ascii="Cambria" w:hAnsi="Cambria"/>
          <w:noProof/>
          <w:sz w:val="22"/>
          <w:szCs w:val="22"/>
        </w:rPr>
        <w:t>(</w:t>
      </w:r>
      <w:r w:rsidRPr="001D32A0">
        <w:rPr>
          <w:rFonts w:ascii="Cambria" w:hAnsi="Cambria"/>
          <w:noProof/>
          <w:sz w:val="22"/>
          <w:szCs w:val="22"/>
        </w:rPr>
        <w:t xml:space="preserve">change of </w:t>
      </w:r>
      <w:r w:rsidR="007A6A9C" w:rsidRPr="001D32A0">
        <w:rPr>
          <w:rFonts w:ascii="Cambria" w:hAnsi="Cambria"/>
          <w:noProof/>
          <w:sz w:val="22"/>
          <w:szCs w:val="22"/>
        </w:rPr>
        <w:t>the</w:t>
      </w:r>
      <w:r w:rsidR="007A2990" w:rsidRPr="001D32A0">
        <w:rPr>
          <w:rFonts w:ascii="Cambria" w:hAnsi="Cambria"/>
          <w:noProof/>
          <w:sz w:val="22"/>
          <w:szCs w:val="22"/>
        </w:rPr>
        <w:t>)</w:t>
      </w:r>
      <w:r w:rsidR="007A6A9C" w:rsidRPr="001D32A0">
        <w:rPr>
          <w:rFonts w:ascii="Cambria" w:hAnsi="Cambria"/>
          <w:noProof/>
          <w:sz w:val="22"/>
          <w:szCs w:val="22"/>
        </w:rPr>
        <w:t xml:space="preserve"> </w:t>
      </w:r>
      <w:r w:rsidRPr="001D32A0">
        <w:rPr>
          <w:rFonts w:ascii="Cambria" w:hAnsi="Cambria"/>
          <w:noProof/>
          <w:sz w:val="22"/>
          <w:szCs w:val="22"/>
        </w:rPr>
        <w:t xml:space="preserve">contact or teaching language. In this context, I will introduce the concept of the </w:t>
      </w:r>
      <w:r w:rsidRPr="001D32A0">
        <w:rPr>
          <w:rFonts w:ascii="Cambria" w:hAnsi="Cambria"/>
          <w:i/>
          <w:noProof/>
          <w:sz w:val="22"/>
          <w:szCs w:val="22"/>
        </w:rPr>
        <w:t>traditional local</w:t>
      </w:r>
      <w:r w:rsidRPr="001D32A0">
        <w:rPr>
          <w:rFonts w:ascii="Cambria" w:hAnsi="Cambria"/>
          <w:noProof/>
          <w:sz w:val="22"/>
          <w:szCs w:val="22"/>
        </w:rPr>
        <w:t xml:space="preserve"> oikonym, which </w:t>
      </w:r>
      <w:r w:rsidR="0045627E" w:rsidRPr="001D32A0">
        <w:rPr>
          <w:rFonts w:ascii="Cambria" w:hAnsi="Cambria"/>
          <w:noProof/>
          <w:sz w:val="22"/>
          <w:szCs w:val="22"/>
        </w:rPr>
        <w:t xml:space="preserve">is useful for </w:t>
      </w:r>
      <w:r w:rsidRPr="001D32A0">
        <w:rPr>
          <w:rFonts w:ascii="Cambria" w:hAnsi="Cambria"/>
          <w:noProof/>
          <w:sz w:val="22"/>
          <w:szCs w:val="22"/>
        </w:rPr>
        <w:t>describ</w:t>
      </w:r>
      <w:r w:rsidR="0045627E" w:rsidRPr="001D32A0">
        <w:rPr>
          <w:rFonts w:ascii="Cambria" w:hAnsi="Cambria"/>
          <w:noProof/>
          <w:sz w:val="22"/>
          <w:szCs w:val="22"/>
        </w:rPr>
        <w:t>ing</w:t>
      </w:r>
      <w:r w:rsidRPr="001D32A0">
        <w:rPr>
          <w:rFonts w:ascii="Cambria" w:hAnsi="Cambria"/>
          <w:noProof/>
          <w:sz w:val="22"/>
          <w:szCs w:val="22"/>
        </w:rPr>
        <w:t xml:space="preserve"> the oikonymy of a non-standardized language.</w:t>
      </w:r>
    </w:p>
    <w:p w14:paraId="1ACB2625" w14:textId="77777777" w:rsidR="00A36803" w:rsidRPr="001D32A0" w:rsidRDefault="00A36803" w:rsidP="00A3574E">
      <w:pPr>
        <w:spacing w:before="240"/>
        <w:jc w:val="center"/>
        <w:rPr>
          <w:rFonts w:ascii="Cambria" w:hAnsi="Cambria" w:cs="Calibri"/>
          <w:b/>
          <w:bCs/>
          <w:color w:val="000000"/>
          <w:sz w:val="22"/>
          <w:szCs w:val="22"/>
        </w:rPr>
      </w:pPr>
      <w:r w:rsidRPr="001D32A0">
        <w:rPr>
          <w:rFonts w:ascii="Cambria" w:hAnsi="Cambria" w:cs="Calibri"/>
          <w:b/>
          <w:bCs/>
          <w:color w:val="000000"/>
          <w:sz w:val="22"/>
          <w:szCs w:val="22"/>
        </w:rPr>
        <w:t>Tense, modality and evidentiality in interaction: The case of the Spanish conditional</w:t>
      </w:r>
    </w:p>
    <w:p w14:paraId="7E831767" w14:textId="77777777" w:rsidR="00412ADD" w:rsidRPr="001D32A0" w:rsidRDefault="00412ADD" w:rsidP="000C24AA">
      <w:pPr>
        <w:jc w:val="center"/>
        <w:rPr>
          <w:rFonts w:ascii="Cambria" w:hAnsi="Cambria" w:cs="Calibri"/>
          <w:color w:val="000000"/>
          <w:sz w:val="22"/>
          <w:szCs w:val="22"/>
        </w:rPr>
      </w:pPr>
      <w:r w:rsidRPr="001D32A0">
        <w:rPr>
          <w:rFonts w:ascii="Cambria" w:hAnsi="Cambria"/>
          <w:bCs/>
          <w:noProof/>
          <w:sz w:val="22"/>
          <w:szCs w:val="22"/>
        </w:rPr>
        <w:t>Dana Kratochvílová (WP1</w:t>
      </w:r>
      <w:r w:rsidRPr="001D32A0">
        <w:rPr>
          <w:rFonts w:ascii="Cambria" w:hAnsi="Cambria" w:cs="Calibri"/>
          <w:color w:val="000000"/>
          <w:sz w:val="22"/>
          <w:szCs w:val="22"/>
        </w:rPr>
        <w:t>; Department of Romance Studies)</w:t>
      </w:r>
    </w:p>
    <w:p w14:paraId="0625D2F1" w14:textId="77777777" w:rsidR="00412ADD" w:rsidRPr="001D32A0" w:rsidRDefault="00412ADD" w:rsidP="000C24AA">
      <w:pPr>
        <w:jc w:val="both"/>
        <w:rPr>
          <w:rFonts w:ascii="Cambria" w:hAnsi="Cambria" w:cs="Calibri"/>
          <w:color w:val="000000"/>
          <w:sz w:val="22"/>
          <w:szCs w:val="22"/>
        </w:rPr>
      </w:pPr>
    </w:p>
    <w:p w14:paraId="741A193A" w14:textId="77777777" w:rsidR="004959A8" w:rsidRPr="00A3574E" w:rsidRDefault="00A36803" w:rsidP="00A3574E">
      <w:pPr>
        <w:jc w:val="both"/>
        <w:rPr>
          <w:rFonts w:ascii="Cambria" w:hAnsi="Cambria" w:cs="Calibri"/>
          <w:color w:val="000000"/>
          <w:sz w:val="22"/>
          <w:szCs w:val="22"/>
        </w:rPr>
      </w:pPr>
      <w:r w:rsidRPr="001D32A0">
        <w:rPr>
          <w:rFonts w:ascii="Cambria" w:hAnsi="Cambria" w:cs="Calibri"/>
          <w:color w:val="000000"/>
          <w:sz w:val="22"/>
          <w:szCs w:val="22"/>
        </w:rPr>
        <w:t xml:space="preserve">The paper focuses on the Spanish conditional, which is characterised by a wide range of uses that could be described as modal, temporal and evidential (quotative). The analysis is based on cognitive grammar and the notions of subjectivity and ground as defined by </w:t>
      </w:r>
      <w:proofErr w:type="spellStart"/>
      <w:r w:rsidRPr="001D32A0">
        <w:rPr>
          <w:rFonts w:ascii="Cambria" w:hAnsi="Cambria" w:cs="Calibri"/>
          <w:color w:val="000000"/>
          <w:sz w:val="22"/>
          <w:szCs w:val="22"/>
        </w:rPr>
        <w:t>Langacker</w:t>
      </w:r>
      <w:proofErr w:type="spellEnd"/>
      <w:r w:rsidRPr="001D32A0">
        <w:rPr>
          <w:rFonts w:ascii="Cambria" w:hAnsi="Cambria" w:cs="Calibri"/>
          <w:color w:val="000000"/>
          <w:sz w:val="22"/>
          <w:szCs w:val="22"/>
        </w:rPr>
        <w:t>. I point out the ways in which tense, modality and evidentiality are intertwined in the meaning of the Spanish conditional, the extent to which individual usages of the Spanish conditional are analogous to the English</w:t>
      </w:r>
      <w:r w:rsidRPr="001D32A0">
        <w:rPr>
          <w:rStyle w:val="apple-converted-space"/>
          <w:rFonts w:ascii="Cambria" w:hAnsi="Cambria" w:cs="Calibri"/>
          <w:color w:val="000000"/>
          <w:sz w:val="22"/>
          <w:szCs w:val="22"/>
        </w:rPr>
        <w:t> </w:t>
      </w:r>
      <w:r w:rsidRPr="001D32A0">
        <w:rPr>
          <w:rFonts w:ascii="Cambria" w:hAnsi="Cambria" w:cs="Calibri"/>
          <w:i/>
          <w:iCs/>
          <w:color w:val="000000"/>
          <w:sz w:val="22"/>
          <w:szCs w:val="22"/>
        </w:rPr>
        <w:t>would</w:t>
      </w:r>
      <w:r w:rsidRPr="001D32A0">
        <w:rPr>
          <w:rFonts w:ascii="Cambria" w:hAnsi="Cambria" w:cs="Calibri"/>
          <w:color w:val="000000"/>
          <w:sz w:val="22"/>
          <w:szCs w:val="22"/>
        </w:rPr>
        <w:t xml:space="preserve">, and how the different components of the conditional meaning can be </w:t>
      </w:r>
      <w:proofErr w:type="spellStart"/>
      <w:r w:rsidRPr="001D32A0">
        <w:rPr>
          <w:rFonts w:ascii="Cambria" w:hAnsi="Cambria" w:cs="Calibri"/>
          <w:color w:val="000000"/>
          <w:sz w:val="22"/>
          <w:szCs w:val="22"/>
        </w:rPr>
        <w:t>analysed</w:t>
      </w:r>
      <w:proofErr w:type="spellEnd"/>
      <w:r w:rsidRPr="001D32A0">
        <w:rPr>
          <w:rFonts w:ascii="Cambria" w:hAnsi="Cambria" w:cs="Calibri"/>
          <w:color w:val="000000"/>
          <w:sz w:val="22"/>
          <w:szCs w:val="22"/>
        </w:rPr>
        <w:t xml:space="preserve"> in their interaction.</w:t>
      </w:r>
    </w:p>
    <w:p w14:paraId="2846B052" w14:textId="77777777" w:rsidR="00581C77" w:rsidRPr="001D32A0" w:rsidRDefault="00581C77" w:rsidP="00A3574E">
      <w:pPr>
        <w:spacing w:before="240"/>
        <w:jc w:val="center"/>
        <w:rPr>
          <w:rStyle w:val="Siln"/>
          <w:rFonts w:ascii="Cambria" w:hAnsi="Cambria"/>
          <w:b w:val="0"/>
          <w:bCs w:val="0"/>
          <w:sz w:val="22"/>
          <w:szCs w:val="22"/>
          <w:lang w:val="cs-CZ"/>
        </w:rPr>
      </w:pPr>
      <w:bookmarkStart w:id="0" w:name="_Hlk122445567"/>
      <w:r w:rsidRPr="001D32A0">
        <w:rPr>
          <w:rFonts w:ascii="Cambria" w:hAnsi="Cambria" w:cs="Calibri"/>
          <w:b/>
          <w:bCs/>
          <w:color w:val="000000"/>
          <w:sz w:val="22"/>
          <w:szCs w:val="22"/>
          <w:shd w:val="clear" w:color="auto" w:fill="FFFFFF"/>
        </w:rPr>
        <w:t>Patterns of distribution of Mycenaean pottery within the Aegean basin and their interpretation</w:t>
      </w:r>
    </w:p>
    <w:p w14:paraId="3AE70325" w14:textId="77777777" w:rsidR="00581C77" w:rsidRPr="001D32A0" w:rsidRDefault="00581C77" w:rsidP="000C24AA">
      <w:pPr>
        <w:jc w:val="center"/>
        <w:rPr>
          <w:rStyle w:val="Siln"/>
          <w:rFonts w:ascii="Cambria" w:hAnsi="Cambria" w:cs="Calibri"/>
          <w:b w:val="0"/>
          <w:bCs w:val="0"/>
          <w:color w:val="333333"/>
          <w:sz w:val="22"/>
          <w:szCs w:val="22"/>
          <w:bdr w:val="none" w:sz="0" w:space="0" w:color="auto" w:frame="1"/>
          <w:shd w:val="clear" w:color="auto" w:fill="FFFFFF"/>
        </w:rPr>
      </w:pPr>
      <w:proofErr w:type="spellStart"/>
      <w:r w:rsidRPr="001D32A0">
        <w:rPr>
          <w:rStyle w:val="Siln"/>
          <w:rFonts w:ascii="Cambria" w:hAnsi="Cambria" w:cs="Calibri"/>
          <w:b w:val="0"/>
          <w:bCs w:val="0"/>
          <w:color w:val="333333"/>
          <w:sz w:val="22"/>
          <w:szCs w:val="22"/>
          <w:bdr w:val="none" w:sz="0" w:space="0" w:color="auto" w:frame="1"/>
          <w:shd w:val="clear" w:color="auto" w:fill="FFFFFF"/>
        </w:rPr>
        <w:t>Bartłomiej</w:t>
      </w:r>
      <w:proofErr w:type="spellEnd"/>
      <w:r w:rsidRPr="001D32A0">
        <w:rPr>
          <w:rStyle w:val="Siln"/>
          <w:rFonts w:ascii="Cambria" w:hAnsi="Cambria" w:cs="Calibri"/>
          <w:b w:val="0"/>
          <w:bCs w:val="0"/>
          <w:color w:val="333333"/>
          <w:sz w:val="22"/>
          <w:szCs w:val="22"/>
          <w:bdr w:val="none" w:sz="0" w:space="0" w:color="auto" w:frame="1"/>
          <w:shd w:val="clear" w:color="auto" w:fill="FFFFFF"/>
        </w:rPr>
        <w:t xml:space="preserve"> Lis</w:t>
      </w:r>
      <w:bookmarkEnd w:id="0"/>
      <w:r w:rsidRPr="001D32A0">
        <w:rPr>
          <w:rStyle w:val="Siln"/>
          <w:rFonts w:ascii="Cambria" w:hAnsi="Cambria" w:cs="Calibri"/>
          <w:b w:val="0"/>
          <w:bCs w:val="0"/>
          <w:color w:val="333333"/>
          <w:sz w:val="22"/>
          <w:szCs w:val="22"/>
          <w:bdr w:val="none" w:sz="0" w:space="0" w:color="auto" w:frame="1"/>
          <w:shd w:val="clear" w:color="auto" w:fill="FFFFFF"/>
        </w:rPr>
        <w:t>, Polish Academy of Sciences</w:t>
      </w:r>
    </w:p>
    <w:p w14:paraId="4B70759D" w14:textId="77777777" w:rsidR="00581C77" w:rsidRDefault="00581C77" w:rsidP="000C24AA">
      <w:pPr>
        <w:rPr>
          <w:rFonts w:ascii="Cambria" w:hAnsi="Cambria"/>
          <w:b/>
          <w:bCs/>
          <w:sz w:val="22"/>
          <w:szCs w:val="22"/>
        </w:rPr>
      </w:pPr>
    </w:p>
    <w:p w14:paraId="345CD357" w14:textId="77777777" w:rsidR="009179CA" w:rsidRPr="009179CA" w:rsidRDefault="009179CA" w:rsidP="000C24AA">
      <w:pPr>
        <w:jc w:val="both"/>
        <w:rPr>
          <w:rFonts w:ascii="Cambria" w:hAnsi="Cambria"/>
          <w:sz w:val="22"/>
          <w:szCs w:val="22"/>
        </w:rPr>
      </w:pPr>
      <w:r w:rsidRPr="009179CA">
        <w:rPr>
          <w:rFonts w:ascii="Cambria" w:hAnsi="Cambria"/>
          <w:sz w:val="22"/>
          <w:szCs w:val="22"/>
        </w:rPr>
        <w:t xml:space="preserve">Pottery that first came into being in the Peloponnese around 1600 BC and became widely used in the entire Greek Mainland and beyond during ensuing five centuries is usually referred to as Mycenaean, following the designation of the dominant culture. It is characterized by a variety of shapes, with a diachronically varied repertoire, and a huge array of decorative motifs, likewise chronologically sensitive, executed usually in iron-based lustrous firing paint. It was produced in a variety of regions, within and beyond the Greek Mainland, but products of some of the workshops were also widely exchanged. </w:t>
      </w:r>
    </w:p>
    <w:p w14:paraId="68247922" w14:textId="77777777" w:rsidR="009179CA" w:rsidRDefault="009179CA" w:rsidP="000C24AA">
      <w:pPr>
        <w:jc w:val="both"/>
        <w:rPr>
          <w:rFonts w:ascii="Cambria" w:hAnsi="Cambria"/>
          <w:sz w:val="22"/>
          <w:szCs w:val="22"/>
        </w:rPr>
      </w:pPr>
      <w:r w:rsidRPr="009179CA">
        <w:rPr>
          <w:rFonts w:ascii="Cambria" w:hAnsi="Cambria"/>
          <w:sz w:val="22"/>
          <w:szCs w:val="22"/>
        </w:rPr>
        <w:t xml:space="preserve">In my presentation, I will first discuss the ways in which we identify products of particular workshops, focussing on </w:t>
      </w:r>
      <w:proofErr w:type="spellStart"/>
      <w:r w:rsidRPr="009179CA">
        <w:rPr>
          <w:rFonts w:ascii="Cambria" w:hAnsi="Cambria"/>
          <w:sz w:val="22"/>
          <w:szCs w:val="22"/>
        </w:rPr>
        <w:t>archaeometric</w:t>
      </w:r>
      <w:proofErr w:type="spellEnd"/>
      <w:r w:rsidRPr="009179CA">
        <w:rPr>
          <w:rFonts w:ascii="Cambria" w:hAnsi="Cambria"/>
          <w:sz w:val="22"/>
          <w:szCs w:val="22"/>
        </w:rPr>
        <w:t xml:space="preserve"> methods, but also highlighting the role of a more traditional macroscopic analysis. Then I will comment on the distribution within the Central and Northern Aegean of pottery from selected workshops/production centres. This area, which encompasses Thessaly, the island of Euboea, Northern Greece, part of the western coast of Anatolia, and numerous Aegean islands, is rarely the main focus of Aegean archaeology, but due to a considerable amount of recent fieldwork and other studies, including analytical ones, a much clearer picture emerges also with respect to the distribution of Mycenaean pottery. In the final part of my paper, I will focus on the interpretation of the emerging diachronic pattens, highlighting possible communication routes as well as the driving force(s) behind the exchange in pottery and the adaptation processes behind it.</w:t>
      </w:r>
    </w:p>
    <w:p w14:paraId="5A4806F5" w14:textId="77777777" w:rsidR="00AB13F7" w:rsidRDefault="00AB13F7" w:rsidP="000C24AA">
      <w:pPr>
        <w:jc w:val="both"/>
        <w:rPr>
          <w:rFonts w:ascii="Cambria" w:hAnsi="Cambria"/>
          <w:sz w:val="22"/>
          <w:szCs w:val="22"/>
        </w:rPr>
      </w:pPr>
    </w:p>
    <w:p w14:paraId="183FDDA4" w14:textId="77777777" w:rsidR="00A36803" w:rsidRPr="001D32A0" w:rsidRDefault="00A36803" w:rsidP="000C24AA">
      <w:pPr>
        <w:pStyle w:val="Normlnweb"/>
        <w:spacing w:before="0" w:beforeAutospacing="0" w:after="0" w:afterAutospacing="0"/>
        <w:jc w:val="center"/>
        <w:rPr>
          <w:rFonts w:ascii="Cambria" w:hAnsi="Cambria"/>
          <w:b/>
          <w:bCs/>
          <w:sz w:val="22"/>
          <w:szCs w:val="22"/>
        </w:rPr>
      </w:pPr>
      <w:proofErr w:type="spellStart"/>
      <w:r w:rsidRPr="001D32A0">
        <w:rPr>
          <w:rFonts w:ascii="Cambria" w:hAnsi="Cambria"/>
          <w:b/>
          <w:bCs/>
          <w:sz w:val="22"/>
          <w:szCs w:val="22"/>
        </w:rPr>
        <w:lastRenderedPageBreak/>
        <w:t>Occupational</w:t>
      </w:r>
      <w:proofErr w:type="spellEnd"/>
      <w:r w:rsidRPr="001D32A0">
        <w:rPr>
          <w:rFonts w:ascii="Cambria" w:hAnsi="Cambria"/>
          <w:b/>
          <w:bCs/>
          <w:sz w:val="22"/>
          <w:szCs w:val="22"/>
        </w:rPr>
        <w:t xml:space="preserve"> </w:t>
      </w:r>
      <w:proofErr w:type="spellStart"/>
      <w:r w:rsidRPr="001D32A0">
        <w:rPr>
          <w:rFonts w:ascii="Cambria" w:hAnsi="Cambria"/>
          <w:b/>
          <w:bCs/>
          <w:sz w:val="22"/>
          <w:szCs w:val="22"/>
        </w:rPr>
        <w:t>well-being</w:t>
      </w:r>
      <w:proofErr w:type="spellEnd"/>
      <w:r w:rsidRPr="001D32A0">
        <w:rPr>
          <w:rFonts w:ascii="Cambria" w:hAnsi="Cambria"/>
          <w:b/>
          <w:bCs/>
          <w:sz w:val="22"/>
          <w:szCs w:val="22"/>
        </w:rPr>
        <w:t xml:space="preserve"> </w:t>
      </w:r>
      <w:proofErr w:type="spellStart"/>
      <w:r w:rsidRPr="001D32A0">
        <w:rPr>
          <w:rFonts w:ascii="Cambria" w:hAnsi="Cambria"/>
          <w:b/>
          <w:bCs/>
          <w:sz w:val="22"/>
          <w:szCs w:val="22"/>
        </w:rPr>
        <w:t>among</w:t>
      </w:r>
      <w:proofErr w:type="spellEnd"/>
      <w:r w:rsidRPr="001D32A0">
        <w:rPr>
          <w:rFonts w:ascii="Cambria" w:hAnsi="Cambria"/>
          <w:b/>
          <w:bCs/>
          <w:sz w:val="22"/>
          <w:szCs w:val="22"/>
        </w:rPr>
        <w:t xml:space="preserve"> Czech university </w:t>
      </w:r>
      <w:proofErr w:type="spellStart"/>
      <w:r w:rsidRPr="001D32A0">
        <w:rPr>
          <w:rFonts w:ascii="Cambria" w:hAnsi="Cambria"/>
          <w:b/>
          <w:bCs/>
          <w:sz w:val="22"/>
          <w:szCs w:val="22"/>
        </w:rPr>
        <w:t>faculty</w:t>
      </w:r>
      <w:proofErr w:type="spellEnd"/>
    </w:p>
    <w:p w14:paraId="6526A0FC" w14:textId="77777777" w:rsidR="00323F58" w:rsidRPr="001D32A0" w:rsidRDefault="00412ADD" w:rsidP="000C24AA">
      <w:pPr>
        <w:jc w:val="center"/>
        <w:rPr>
          <w:rFonts w:ascii="Cambria" w:hAnsi="Cambria" w:cs="Calibri"/>
          <w:color w:val="000000"/>
          <w:sz w:val="22"/>
          <w:szCs w:val="22"/>
        </w:rPr>
      </w:pPr>
      <w:r w:rsidRPr="001D32A0">
        <w:rPr>
          <w:rFonts w:ascii="Cambria" w:hAnsi="Cambria" w:cs="Calibri"/>
          <w:color w:val="000000"/>
          <w:sz w:val="22"/>
          <w:szCs w:val="22"/>
        </w:rPr>
        <w:t>Jiří Mudrák</w:t>
      </w:r>
      <w:r w:rsidR="00323F58" w:rsidRPr="001D32A0">
        <w:rPr>
          <w:rFonts w:ascii="Cambria" w:hAnsi="Cambria" w:cs="Calibri"/>
          <w:color w:val="000000"/>
          <w:sz w:val="22"/>
          <w:szCs w:val="22"/>
        </w:rPr>
        <w:t>,</w:t>
      </w:r>
      <w:r w:rsidRPr="001D32A0">
        <w:rPr>
          <w:rFonts w:ascii="Cambria" w:hAnsi="Cambria" w:cs="Calibri"/>
          <w:color w:val="000000"/>
          <w:sz w:val="22"/>
          <w:szCs w:val="22"/>
        </w:rPr>
        <w:t xml:space="preserve"> </w:t>
      </w:r>
      <w:r w:rsidR="00323F58" w:rsidRPr="001D32A0">
        <w:rPr>
          <w:rFonts w:ascii="Cambria" w:hAnsi="Cambria" w:cs="Calibri"/>
          <w:color w:val="000000"/>
          <w:sz w:val="22"/>
          <w:szCs w:val="22"/>
        </w:rPr>
        <w:t xml:space="preserve">Kateřina Zábrodská </w:t>
      </w:r>
      <w:r w:rsidRPr="001D32A0">
        <w:rPr>
          <w:rFonts w:ascii="Cambria" w:hAnsi="Cambria" w:cs="Calibri"/>
          <w:color w:val="000000"/>
          <w:sz w:val="22"/>
          <w:szCs w:val="22"/>
        </w:rPr>
        <w:t>(WP2;</w:t>
      </w:r>
      <w:r w:rsidR="0055689C" w:rsidRPr="001D32A0">
        <w:rPr>
          <w:rFonts w:ascii="Cambria" w:hAnsi="Cambria" w:cs="Calibri"/>
          <w:color w:val="000000"/>
          <w:sz w:val="22"/>
          <w:szCs w:val="22"/>
        </w:rPr>
        <w:t xml:space="preserve"> Department of Psychology)</w:t>
      </w:r>
    </w:p>
    <w:p w14:paraId="15FADD88" w14:textId="77777777" w:rsidR="00A36803" w:rsidRPr="001D32A0" w:rsidRDefault="00A36803" w:rsidP="000C24AA">
      <w:pPr>
        <w:rPr>
          <w:rFonts w:ascii="Cambria" w:hAnsi="Cambria"/>
          <w:sz w:val="22"/>
          <w:szCs w:val="22"/>
        </w:rPr>
      </w:pPr>
    </w:p>
    <w:p w14:paraId="54117928" w14:textId="77777777" w:rsidR="00A36803" w:rsidRPr="00A3574E" w:rsidRDefault="00A36803" w:rsidP="000C24AA">
      <w:pPr>
        <w:jc w:val="both"/>
        <w:rPr>
          <w:rFonts w:ascii="Cambria" w:hAnsi="Cambria"/>
          <w:sz w:val="22"/>
          <w:szCs w:val="22"/>
        </w:rPr>
      </w:pPr>
      <w:r w:rsidRPr="001D32A0">
        <w:rPr>
          <w:rFonts w:ascii="Cambria" w:hAnsi="Cambria"/>
          <w:sz w:val="22"/>
          <w:szCs w:val="22"/>
        </w:rPr>
        <w:t xml:space="preserve">The Czech higher education system has been undergoing a gradual transformation over the last twenty years, during which the traditional Humboldtian values of academic autonomy and collegiality have clashed with the developing market orientation emphasizing internationalization, productivity and applicability of academic work. In this paper, we present results of a large research project that examines the impact of the transformation of academic work and workplaces in Czech universities on the occupational health, motivation and productivity of academics. Our aim is to explore the ways in which work motivation and organizational </w:t>
      </w:r>
      <w:proofErr w:type="spellStart"/>
      <w:r w:rsidRPr="001D32A0">
        <w:rPr>
          <w:rFonts w:ascii="Cambria" w:hAnsi="Cambria"/>
          <w:sz w:val="22"/>
          <w:szCs w:val="22"/>
        </w:rPr>
        <w:t>behaviour</w:t>
      </w:r>
      <w:proofErr w:type="spellEnd"/>
      <w:r w:rsidRPr="001D32A0">
        <w:rPr>
          <w:rFonts w:ascii="Cambria" w:hAnsi="Cambria"/>
          <w:sz w:val="22"/>
          <w:szCs w:val="22"/>
        </w:rPr>
        <w:t xml:space="preserve"> of academics is situated in broader organizational contexts, and how the interactions between different actors create conditions for the occupational health, job satisfaction and productivity of academic staff.</w:t>
      </w:r>
    </w:p>
    <w:p w14:paraId="3D61C9B3" w14:textId="77777777" w:rsidR="000C24AA" w:rsidRDefault="00E133D1" w:rsidP="00A3574E">
      <w:pPr>
        <w:shd w:val="clear" w:color="auto" w:fill="FFFFFF"/>
        <w:spacing w:before="240"/>
        <w:jc w:val="center"/>
        <w:textAlignment w:val="baseline"/>
        <w:rPr>
          <w:rFonts w:ascii="Cambria" w:hAnsi="Cambria" w:cs="Calibri"/>
          <w:b/>
          <w:bCs/>
          <w:color w:val="000000"/>
          <w:sz w:val="22"/>
          <w:szCs w:val="22"/>
        </w:rPr>
      </w:pPr>
      <w:r w:rsidRPr="00E133D1">
        <w:rPr>
          <w:rFonts w:ascii="Cambria" w:hAnsi="Cambria" w:cs="Calibri"/>
          <w:b/>
          <w:bCs/>
          <w:color w:val="000000"/>
          <w:sz w:val="22"/>
          <w:szCs w:val="22"/>
        </w:rPr>
        <w:t xml:space="preserve">From the Balkans to Anatolia: </w:t>
      </w:r>
    </w:p>
    <w:p w14:paraId="6B83AD85" w14:textId="77777777" w:rsidR="00E133D1" w:rsidRPr="00E133D1" w:rsidRDefault="00E133D1" w:rsidP="000C24AA">
      <w:pPr>
        <w:shd w:val="clear" w:color="auto" w:fill="FFFFFF"/>
        <w:jc w:val="center"/>
        <w:textAlignment w:val="baseline"/>
        <w:rPr>
          <w:rFonts w:ascii="Cambria" w:hAnsi="Cambria" w:cs="Calibri"/>
          <w:color w:val="000000"/>
          <w:sz w:val="22"/>
          <w:szCs w:val="22"/>
        </w:rPr>
      </w:pPr>
      <w:r w:rsidRPr="00E133D1">
        <w:rPr>
          <w:rFonts w:ascii="Cambria" w:hAnsi="Cambria" w:cs="Calibri"/>
          <w:b/>
          <w:bCs/>
          <w:color w:val="000000"/>
          <w:sz w:val="22"/>
          <w:szCs w:val="22"/>
        </w:rPr>
        <w:t>Archaeological connectivity and adaptation in the presumed border zones</w:t>
      </w:r>
    </w:p>
    <w:p w14:paraId="35A4AAD2" w14:textId="77777777" w:rsidR="00E133D1" w:rsidRPr="00E133D1" w:rsidRDefault="00E133D1" w:rsidP="000C24AA">
      <w:pPr>
        <w:jc w:val="center"/>
        <w:rPr>
          <w:rFonts w:ascii="Cambria" w:hAnsi="Cambria" w:cs="Calibri"/>
          <w:color w:val="000000"/>
          <w:sz w:val="22"/>
          <w:szCs w:val="22"/>
        </w:rPr>
      </w:pPr>
      <w:r w:rsidRPr="00E133D1">
        <w:rPr>
          <w:rFonts w:ascii="Cambria" w:hAnsi="Cambria" w:cs="Calibri"/>
          <w:color w:val="000000"/>
          <w:sz w:val="22"/>
          <w:szCs w:val="22"/>
        </w:rPr>
        <w:t>Peter Pavúk,  Petra Tušlová, Marek Verčík (WP3; Institute of Classical Archeology)</w:t>
      </w:r>
    </w:p>
    <w:p w14:paraId="093A1C86" w14:textId="77777777" w:rsidR="00E133D1" w:rsidRPr="00E133D1" w:rsidRDefault="00E133D1" w:rsidP="000C24AA">
      <w:pPr>
        <w:rPr>
          <w:rFonts w:ascii="Cambria" w:hAnsi="Cambria" w:cs="Calibri"/>
          <w:color w:val="000000"/>
          <w:sz w:val="22"/>
          <w:szCs w:val="22"/>
        </w:rPr>
      </w:pPr>
    </w:p>
    <w:p w14:paraId="1564F92E" w14:textId="77777777" w:rsidR="00A3574E" w:rsidRDefault="00E133D1" w:rsidP="00A3574E">
      <w:pPr>
        <w:jc w:val="both"/>
        <w:rPr>
          <w:rFonts w:ascii="Cambria" w:hAnsi="Cambria"/>
          <w:sz w:val="22"/>
          <w:szCs w:val="22"/>
        </w:rPr>
      </w:pPr>
      <w:r w:rsidRPr="00E133D1">
        <w:rPr>
          <w:rFonts w:ascii="Cambria" w:hAnsi="Cambria"/>
          <w:sz w:val="22"/>
          <w:szCs w:val="22"/>
        </w:rPr>
        <w:t>The past two decades (and likely even more than that) have witnessed an unprecede</w:t>
      </w:r>
      <w:r w:rsidR="00AB13F7">
        <w:rPr>
          <w:rFonts w:ascii="Cambria" w:hAnsi="Cambria"/>
          <w:sz w:val="22"/>
          <w:szCs w:val="22"/>
        </w:rPr>
        <w:t>nte</w:t>
      </w:r>
      <w:r w:rsidRPr="00E133D1">
        <w:rPr>
          <w:rFonts w:ascii="Cambria" w:hAnsi="Cambria"/>
          <w:sz w:val="22"/>
          <w:szCs w:val="22"/>
        </w:rPr>
        <w:t>d upsurge in rather complex discussions of various ‘-</w:t>
      </w:r>
      <w:proofErr w:type="spellStart"/>
      <w:r w:rsidRPr="00E133D1">
        <w:rPr>
          <w:rFonts w:ascii="Cambria" w:hAnsi="Cambria"/>
          <w:sz w:val="22"/>
          <w:szCs w:val="22"/>
        </w:rPr>
        <w:t>isation</w:t>
      </w:r>
      <w:proofErr w:type="spellEnd"/>
      <w:r w:rsidRPr="00E133D1">
        <w:rPr>
          <w:rFonts w:ascii="Cambria" w:hAnsi="Cambria"/>
          <w:sz w:val="22"/>
          <w:szCs w:val="22"/>
        </w:rPr>
        <w:t>’ phenomena, acculturation processes, and migration theories. At the same time, the long-held views of concepts of core, periphery, and margins as well as models of interaction within them had come, after closer scrutiny, under attack, but new unifying/rectifying models never emerged. The past realities were simply more complex and complicated than that.</w:t>
      </w:r>
      <w:r>
        <w:rPr>
          <w:rFonts w:ascii="Cambria" w:hAnsi="Cambria"/>
          <w:sz w:val="22"/>
          <w:szCs w:val="22"/>
        </w:rPr>
        <w:t xml:space="preserve"> </w:t>
      </w:r>
      <w:r w:rsidRPr="00E133D1">
        <w:rPr>
          <w:rFonts w:ascii="Cambria" w:hAnsi="Cambria"/>
          <w:sz w:val="22"/>
          <w:szCs w:val="22"/>
        </w:rPr>
        <w:t>Starting from our three main case studies, field projects in Turkey, Bulgaria and Northern Macedonia, we shall present the results stemming from the various archaeological analyses conducted in the past 5 years, trying to r</w:t>
      </w:r>
      <w:r w:rsidR="00AB13F7">
        <w:rPr>
          <w:rFonts w:ascii="Cambria" w:hAnsi="Cambria"/>
          <w:sz w:val="22"/>
          <w:szCs w:val="22"/>
        </w:rPr>
        <w:t>a</w:t>
      </w:r>
      <w:r w:rsidRPr="00E133D1">
        <w:rPr>
          <w:rFonts w:ascii="Cambria" w:hAnsi="Cambria"/>
          <w:sz w:val="22"/>
          <w:szCs w:val="22"/>
        </w:rPr>
        <w:t xml:space="preserve">ise </w:t>
      </w:r>
      <w:r w:rsidR="00AB13F7">
        <w:rPr>
          <w:rFonts w:ascii="Cambria" w:hAnsi="Cambria"/>
          <w:sz w:val="22"/>
          <w:szCs w:val="22"/>
        </w:rPr>
        <w:t>awareness</w:t>
      </w:r>
      <w:r w:rsidRPr="00E133D1">
        <w:rPr>
          <w:rFonts w:ascii="Cambria" w:hAnsi="Cambria"/>
          <w:sz w:val="22"/>
          <w:szCs w:val="22"/>
        </w:rPr>
        <w:t xml:space="preserve"> </w:t>
      </w:r>
      <w:r w:rsidR="00AB13F7">
        <w:rPr>
          <w:rFonts w:ascii="Cambria" w:hAnsi="Cambria"/>
          <w:sz w:val="22"/>
          <w:szCs w:val="22"/>
        </w:rPr>
        <w:t>of</w:t>
      </w:r>
      <w:r w:rsidRPr="00E133D1">
        <w:rPr>
          <w:rFonts w:ascii="Cambria" w:hAnsi="Cambria"/>
          <w:sz w:val="22"/>
          <w:szCs w:val="22"/>
        </w:rPr>
        <w:t xml:space="preserve"> the active role of the local populations encircling the Aegean Sea, against the changing chronological background, from the Late Bronze Age, through Early Iron Age to the Roman Period. What might seem as border zones</w:t>
      </w:r>
      <w:r>
        <w:rPr>
          <w:rFonts w:ascii="Cambria" w:hAnsi="Cambria"/>
          <w:sz w:val="22"/>
          <w:szCs w:val="22"/>
        </w:rPr>
        <w:t xml:space="preserve"> </w:t>
      </w:r>
      <w:r>
        <w:t xml:space="preserve">from one perspective are </w:t>
      </w:r>
      <w:proofErr w:type="spellStart"/>
      <w:r>
        <w:t>centres</w:t>
      </w:r>
      <w:proofErr w:type="spellEnd"/>
      <w:r>
        <w:t xml:space="preserve"> from another.</w:t>
      </w:r>
    </w:p>
    <w:p w14:paraId="5DB80B89" w14:textId="77777777" w:rsidR="000C24AA" w:rsidRPr="00A3574E" w:rsidRDefault="000C24AA" w:rsidP="00A3574E">
      <w:pPr>
        <w:spacing w:before="240"/>
        <w:jc w:val="center"/>
        <w:rPr>
          <w:rFonts w:ascii="Cambria" w:hAnsi="Cambria"/>
          <w:sz w:val="22"/>
          <w:szCs w:val="22"/>
        </w:rPr>
      </w:pPr>
      <w:r w:rsidRPr="000C24AA">
        <w:rPr>
          <w:rFonts w:ascii="Cambria" w:hAnsi="Cambria"/>
          <w:b/>
          <w:bCs/>
          <w:sz w:val="22"/>
          <w:szCs w:val="22"/>
        </w:rPr>
        <w:t>RATIONALITY AGAINST DIRTY POLITICS:</w:t>
      </w:r>
    </w:p>
    <w:p w14:paraId="789F7EF4" w14:textId="77777777" w:rsidR="000C24AA" w:rsidRPr="000C24AA" w:rsidRDefault="000C24AA" w:rsidP="000C24AA">
      <w:pPr>
        <w:jc w:val="center"/>
        <w:rPr>
          <w:rFonts w:ascii="Cambria" w:hAnsi="Cambria"/>
          <w:b/>
          <w:bCs/>
          <w:sz w:val="22"/>
          <w:szCs w:val="22"/>
        </w:rPr>
      </w:pPr>
      <w:r w:rsidRPr="000C24AA">
        <w:rPr>
          <w:rFonts w:ascii="Cambria" w:hAnsi="Cambria"/>
          <w:b/>
          <w:bCs/>
          <w:sz w:val="22"/>
          <w:szCs w:val="22"/>
        </w:rPr>
        <w:t>Roots of the Technocratic Governance in Czechoslovakia</w:t>
      </w:r>
    </w:p>
    <w:p w14:paraId="19D63DF8" w14:textId="77777777" w:rsidR="000C24AA" w:rsidRPr="000C24AA" w:rsidRDefault="000C24AA" w:rsidP="000C24AA">
      <w:pPr>
        <w:jc w:val="center"/>
        <w:rPr>
          <w:rFonts w:ascii="Cambria" w:hAnsi="Cambria"/>
          <w:sz w:val="22"/>
          <w:szCs w:val="22"/>
        </w:rPr>
      </w:pPr>
      <w:r w:rsidRPr="000C24AA">
        <w:rPr>
          <w:rFonts w:ascii="Cambria" w:hAnsi="Cambria"/>
          <w:sz w:val="22"/>
          <w:szCs w:val="22"/>
        </w:rPr>
        <w:t>Jakub Rákosník (WP3; Institute of Economic and Social History)</w:t>
      </w:r>
    </w:p>
    <w:p w14:paraId="4B141927" w14:textId="77777777" w:rsidR="000C24AA" w:rsidRPr="000C24AA" w:rsidRDefault="000C24AA" w:rsidP="000C24AA">
      <w:pPr>
        <w:rPr>
          <w:rFonts w:ascii="Cambria" w:hAnsi="Cambria"/>
          <w:sz w:val="22"/>
          <w:szCs w:val="22"/>
        </w:rPr>
      </w:pPr>
    </w:p>
    <w:p w14:paraId="5D15C0A3" w14:textId="77777777" w:rsidR="000C24AA" w:rsidRPr="000C24AA" w:rsidRDefault="000C24AA" w:rsidP="000C24AA">
      <w:pPr>
        <w:jc w:val="both"/>
        <w:rPr>
          <w:rFonts w:ascii="Cambria" w:hAnsi="Cambria"/>
          <w:sz w:val="22"/>
          <w:szCs w:val="22"/>
        </w:rPr>
      </w:pPr>
      <w:r w:rsidRPr="000C24AA">
        <w:rPr>
          <w:rFonts w:ascii="Cambria" w:hAnsi="Cambria"/>
          <w:sz w:val="22"/>
          <w:szCs w:val="22"/>
        </w:rPr>
        <w:t xml:space="preserve">The paper is concerned with the early technocratic tendencies that started among Czechoslovak scholars after the First World War. We can reconstruct a continuous line from the visions limited to the rational management of work in the enterprise, through broader socio-economic planning as a supplement to democratic procedures, to the planning of the war economy and Soviet central macroeconomic planning. In addition to this general line of development, the paper will summarize the main thesis of our collective monograph written as part of the project </w:t>
      </w:r>
      <w:r w:rsidR="00AB13F7">
        <w:rPr>
          <w:rFonts w:ascii="Cambria" w:hAnsi="Cambria"/>
          <w:sz w:val="22"/>
          <w:szCs w:val="22"/>
        </w:rPr>
        <w:t>KREAS</w:t>
      </w:r>
      <w:r w:rsidRPr="000C24AA">
        <w:rPr>
          <w:rFonts w:ascii="Cambria" w:hAnsi="Cambria"/>
          <w:sz w:val="22"/>
          <w:szCs w:val="22"/>
        </w:rPr>
        <w:t>. We show in different fields of the society (resources, population, space) how, during the 20th century, technocratic tendencies of rational management coexisted with different political regimes. </w:t>
      </w:r>
    </w:p>
    <w:p w14:paraId="268C1465" w14:textId="77777777" w:rsidR="00A36803" w:rsidRDefault="00A36803" w:rsidP="000C24AA">
      <w:pPr>
        <w:rPr>
          <w:rFonts w:ascii="Cambria" w:hAnsi="Cambria"/>
          <w:b/>
          <w:bCs/>
          <w:sz w:val="22"/>
          <w:szCs w:val="22"/>
        </w:rPr>
      </w:pPr>
    </w:p>
    <w:p w14:paraId="66F71EBC" w14:textId="77777777" w:rsidR="000C24AA" w:rsidRDefault="000C24AA" w:rsidP="000C24AA">
      <w:pPr>
        <w:rPr>
          <w:rFonts w:ascii="Cambria" w:hAnsi="Cambria"/>
          <w:b/>
          <w:bCs/>
          <w:sz w:val="22"/>
          <w:szCs w:val="22"/>
        </w:rPr>
      </w:pPr>
    </w:p>
    <w:p w14:paraId="31630D68" w14:textId="77777777" w:rsidR="00A3574E" w:rsidRPr="001D32A0" w:rsidRDefault="00A3574E" w:rsidP="000C24AA">
      <w:pPr>
        <w:rPr>
          <w:rFonts w:ascii="Cambria" w:hAnsi="Cambria"/>
          <w:b/>
          <w:bCs/>
          <w:sz w:val="22"/>
          <w:szCs w:val="22"/>
        </w:rPr>
      </w:pPr>
    </w:p>
    <w:p w14:paraId="400612F7" w14:textId="77777777" w:rsidR="000C24AA" w:rsidRDefault="003F5E7F" w:rsidP="000C24AA">
      <w:pPr>
        <w:jc w:val="center"/>
        <w:rPr>
          <w:rFonts w:ascii="Cambria" w:hAnsi="Cambria"/>
          <w:b/>
          <w:bCs/>
          <w:sz w:val="22"/>
          <w:szCs w:val="22"/>
        </w:rPr>
      </w:pPr>
      <w:r w:rsidRPr="001D32A0">
        <w:rPr>
          <w:rFonts w:ascii="Cambria" w:hAnsi="Cambria"/>
          <w:b/>
          <w:bCs/>
          <w:sz w:val="22"/>
          <w:szCs w:val="22"/>
        </w:rPr>
        <w:lastRenderedPageBreak/>
        <w:t xml:space="preserve">Managerialism or Industrial Democracy? </w:t>
      </w:r>
    </w:p>
    <w:p w14:paraId="441272CF" w14:textId="77777777" w:rsidR="003F5E7F" w:rsidRPr="001D32A0" w:rsidRDefault="003F5E7F" w:rsidP="000C24AA">
      <w:pPr>
        <w:jc w:val="center"/>
        <w:rPr>
          <w:rFonts w:ascii="Cambria" w:hAnsi="Cambria"/>
          <w:b/>
          <w:bCs/>
          <w:sz w:val="22"/>
          <w:szCs w:val="22"/>
        </w:rPr>
      </w:pPr>
      <w:r w:rsidRPr="001D32A0">
        <w:rPr>
          <w:rFonts w:ascii="Cambria" w:hAnsi="Cambria"/>
          <w:b/>
          <w:bCs/>
          <w:sz w:val="22"/>
          <w:szCs w:val="22"/>
        </w:rPr>
        <w:t>The Fall of Socialism and Expert Governance in Czechoslovak Industry</w:t>
      </w:r>
    </w:p>
    <w:p w14:paraId="12CB4A51" w14:textId="77777777" w:rsidR="00323F58" w:rsidRPr="001D32A0" w:rsidRDefault="003F5E7F" w:rsidP="000C24AA">
      <w:pPr>
        <w:jc w:val="center"/>
        <w:rPr>
          <w:rFonts w:ascii="Cambria" w:hAnsi="Cambria" w:cs="Calibri"/>
          <w:color w:val="000000"/>
          <w:sz w:val="22"/>
          <w:szCs w:val="22"/>
          <w:lang w:val="cs-CZ"/>
        </w:rPr>
      </w:pPr>
      <w:r w:rsidRPr="001D32A0">
        <w:rPr>
          <w:rFonts w:ascii="Cambria" w:hAnsi="Cambria" w:cs="Calibri"/>
          <w:color w:val="000000"/>
          <w:sz w:val="22"/>
          <w:szCs w:val="22"/>
        </w:rPr>
        <w:t>Vítězslav Sommer (WP3;</w:t>
      </w:r>
      <w:r w:rsidRPr="001D32A0">
        <w:rPr>
          <w:rFonts w:ascii="Cambria" w:hAnsi="Cambria" w:cs="Calibri"/>
          <w:color w:val="000000"/>
          <w:sz w:val="22"/>
          <w:szCs w:val="22"/>
          <w:lang w:val="cs-CZ"/>
        </w:rPr>
        <w:t xml:space="preserve"> </w:t>
      </w:r>
      <w:r w:rsidR="0055689C" w:rsidRPr="001D32A0">
        <w:rPr>
          <w:rFonts w:ascii="Cambria" w:hAnsi="Cambria" w:cs="Calibri"/>
          <w:color w:val="000000"/>
          <w:sz w:val="22"/>
          <w:szCs w:val="22"/>
          <w:lang w:val="cs-CZ"/>
        </w:rPr>
        <w:t>Ins</w:t>
      </w:r>
      <w:r w:rsidR="00903BD4">
        <w:rPr>
          <w:rFonts w:ascii="Cambria" w:hAnsi="Cambria" w:cs="Calibri"/>
          <w:color w:val="000000"/>
          <w:sz w:val="22"/>
          <w:szCs w:val="22"/>
          <w:lang w:val="cs-CZ"/>
        </w:rPr>
        <w:t>t</w:t>
      </w:r>
      <w:r w:rsidR="0055689C" w:rsidRPr="001D32A0">
        <w:rPr>
          <w:rFonts w:ascii="Cambria" w:hAnsi="Cambria" w:cs="Calibri"/>
          <w:color w:val="000000"/>
          <w:sz w:val="22"/>
          <w:szCs w:val="22"/>
          <w:lang w:val="cs-CZ"/>
        </w:rPr>
        <w:t xml:space="preserve">itute </w:t>
      </w:r>
      <w:proofErr w:type="spellStart"/>
      <w:r w:rsidR="0055689C" w:rsidRPr="001D32A0">
        <w:rPr>
          <w:rFonts w:ascii="Cambria" w:hAnsi="Cambria" w:cs="Calibri"/>
          <w:color w:val="000000"/>
          <w:sz w:val="22"/>
          <w:szCs w:val="22"/>
          <w:lang w:val="cs-CZ"/>
        </w:rPr>
        <w:t>of</w:t>
      </w:r>
      <w:proofErr w:type="spellEnd"/>
      <w:r w:rsidR="0055689C" w:rsidRPr="001D32A0">
        <w:rPr>
          <w:rFonts w:ascii="Cambria" w:hAnsi="Cambria" w:cs="Calibri"/>
          <w:color w:val="000000"/>
          <w:sz w:val="22"/>
          <w:szCs w:val="22"/>
          <w:lang w:val="cs-CZ"/>
        </w:rPr>
        <w:t xml:space="preserve"> </w:t>
      </w:r>
      <w:proofErr w:type="spellStart"/>
      <w:r w:rsidR="0055689C" w:rsidRPr="001D32A0">
        <w:rPr>
          <w:rFonts w:ascii="Cambria" w:hAnsi="Cambria" w:cs="Calibri"/>
          <w:color w:val="000000"/>
          <w:sz w:val="22"/>
          <w:szCs w:val="22"/>
          <w:lang w:val="cs-CZ"/>
        </w:rPr>
        <w:t>Contemporary</w:t>
      </w:r>
      <w:proofErr w:type="spellEnd"/>
      <w:r w:rsidR="0055689C" w:rsidRPr="001D32A0">
        <w:rPr>
          <w:rFonts w:ascii="Cambria" w:hAnsi="Cambria" w:cs="Calibri"/>
          <w:color w:val="000000"/>
          <w:sz w:val="22"/>
          <w:szCs w:val="22"/>
          <w:lang w:val="cs-CZ"/>
        </w:rPr>
        <w:t xml:space="preserve"> </w:t>
      </w:r>
      <w:proofErr w:type="spellStart"/>
      <w:r w:rsidR="0055689C" w:rsidRPr="001D32A0">
        <w:rPr>
          <w:rFonts w:ascii="Cambria" w:hAnsi="Cambria" w:cs="Calibri"/>
          <w:color w:val="000000"/>
          <w:sz w:val="22"/>
          <w:szCs w:val="22"/>
          <w:lang w:val="cs-CZ"/>
        </w:rPr>
        <w:t>History</w:t>
      </w:r>
      <w:proofErr w:type="spellEnd"/>
      <w:r w:rsidR="0055689C" w:rsidRPr="001D32A0">
        <w:rPr>
          <w:rFonts w:ascii="Cambria" w:hAnsi="Cambria" w:cs="Calibri"/>
          <w:color w:val="000000"/>
          <w:sz w:val="22"/>
          <w:szCs w:val="22"/>
          <w:lang w:val="cs-CZ"/>
        </w:rPr>
        <w:t xml:space="preserve">, Czech </w:t>
      </w:r>
      <w:proofErr w:type="spellStart"/>
      <w:r w:rsidR="0055689C" w:rsidRPr="001D32A0">
        <w:rPr>
          <w:rFonts w:ascii="Cambria" w:hAnsi="Cambria" w:cs="Calibri"/>
          <w:color w:val="000000"/>
          <w:sz w:val="22"/>
          <w:szCs w:val="22"/>
          <w:lang w:val="cs-CZ"/>
        </w:rPr>
        <w:t>Academy</w:t>
      </w:r>
      <w:proofErr w:type="spellEnd"/>
      <w:r w:rsidR="0055689C" w:rsidRPr="001D32A0">
        <w:rPr>
          <w:rFonts w:ascii="Cambria" w:hAnsi="Cambria" w:cs="Calibri"/>
          <w:color w:val="000000"/>
          <w:sz w:val="22"/>
          <w:szCs w:val="22"/>
          <w:lang w:val="cs-CZ"/>
        </w:rPr>
        <w:t xml:space="preserve"> </w:t>
      </w:r>
      <w:proofErr w:type="spellStart"/>
      <w:r w:rsidR="0055689C" w:rsidRPr="001D32A0">
        <w:rPr>
          <w:rFonts w:ascii="Cambria" w:hAnsi="Cambria" w:cs="Calibri"/>
          <w:color w:val="000000"/>
          <w:sz w:val="22"/>
          <w:szCs w:val="22"/>
          <w:lang w:val="cs-CZ"/>
        </w:rPr>
        <w:t>of</w:t>
      </w:r>
      <w:proofErr w:type="spellEnd"/>
      <w:r w:rsidR="0055689C" w:rsidRPr="001D32A0">
        <w:rPr>
          <w:rFonts w:ascii="Cambria" w:hAnsi="Cambria" w:cs="Calibri"/>
          <w:color w:val="000000"/>
          <w:sz w:val="22"/>
          <w:szCs w:val="22"/>
          <w:lang w:val="cs-CZ"/>
        </w:rPr>
        <w:t xml:space="preserve"> </w:t>
      </w:r>
      <w:proofErr w:type="spellStart"/>
      <w:r w:rsidR="0055689C" w:rsidRPr="001D32A0">
        <w:rPr>
          <w:rFonts w:ascii="Cambria" w:hAnsi="Cambria" w:cs="Calibri"/>
          <w:color w:val="000000"/>
          <w:sz w:val="22"/>
          <w:szCs w:val="22"/>
          <w:lang w:val="cs-CZ"/>
        </w:rPr>
        <w:t>Sciences</w:t>
      </w:r>
      <w:proofErr w:type="spellEnd"/>
      <w:r w:rsidR="0055689C" w:rsidRPr="001D32A0">
        <w:rPr>
          <w:rFonts w:ascii="Cambria" w:hAnsi="Cambria" w:cs="Calibri"/>
          <w:color w:val="000000"/>
          <w:sz w:val="22"/>
          <w:szCs w:val="22"/>
          <w:lang w:val="cs-CZ"/>
        </w:rPr>
        <w:t>)</w:t>
      </w:r>
    </w:p>
    <w:p w14:paraId="1BEEB41C" w14:textId="77777777" w:rsidR="003F5E7F" w:rsidRPr="001D32A0" w:rsidRDefault="003F5E7F" w:rsidP="000C24AA">
      <w:pPr>
        <w:jc w:val="both"/>
        <w:rPr>
          <w:rFonts w:ascii="Cambria" w:hAnsi="Cambria" w:cs="Calibri"/>
          <w:color w:val="000000"/>
          <w:sz w:val="22"/>
          <w:szCs w:val="22"/>
        </w:rPr>
      </w:pPr>
    </w:p>
    <w:p w14:paraId="2F804FDE" w14:textId="77777777" w:rsidR="003F5E7F" w:rsidRPr="00A3574E" w:rsidRDefault="003F5E7F" w:rsidP="000C24AA">
      <w:pPr>
        <w:jc w:val="both"/>
        <w:rPr>
          <w:rFonts w:ascii="Cambria" w:hAnsi="Cambria"/>
          <w:sz w:val="22"/>
          <w:szCs w:val="22"/>
        </w:rPr>
      </w:pPr>
      <w:r w:rsidRPr="001D32A0">
        <w:rPr>
          <w:rFonts w:ascii="Cambria" w:hAnsi="Cambria"/>
          <w:sz w:val="22"/>
          <w:szCs w:val="22"/>
        </w:rPr>
        <w:t xml:space="preserve">This paper examines the challenges posed by the Velvet Revolution to power relations in Czechoslovak industry. Using the example of the </w:t>
      </w:r>
      <w:proofErr w:type="spellStart"/>
      <w:r w:rsidRPr="001D32A0">
        <w:rPr>
          <w:rFonts w:ascii="Cambria" w:hAnsi="Cambria"/>
          <w:sz w:val="22"/>
          <w:szCs w:val="22"/>
        </w:rPr>
        <w:t>Svit</w:t>
      </w:r>
      <w:proofErr w:type="spellEnd"/>
      <w:r w:rsidRPr="001D32A0">
        <w:rPr>
          <w:rFonts w:ascii="Cambria" w:hAnsi="Cambria"/>
          <w:sz w:val="22"/>
          <w:szCs w:val="22"/>
        </w:rPr>
        <w:t xml:space="preserve"> Zlín company, it will show what the strategy of the managers was in 1989 and 1991, and what criticism they faced from the ranks of activists who demanded a more radical break with the past or a new arrangement of power relations in the companies. More generally, the case study will explore the relationship between the technocratic legacy of late socialism and the democratic demands of 1989. </w:t>
      </w:r>
    </w:p>
    <w:p w14:paraId="6884CC3E" w14:textId="77777777" w:rsidR="000C24AA" w:rsidRDefault="00B33D21" w:rsidP="00A3574E">
      <w:pPr>
        <w:pStyle w:val="Normlnweb"/>
        <w:shd w:val="clear" w:color="auto" w:fill="FFFFFF"/>
        <w:spacing w:before="240" w:beforeAutospacing="0" w:after="0" w:afterAutospacing="0"/>
        <w:jc w:val="center"/>
        <w:rPr>
          <w:rStyle w:val="contentpasted0"/>
          <w:rFonts w:ascii="Cambria" w:hAnsi="Cambria" w:cs="Calibri"/>
          <w:b/>
          <w:bCs/>
          <w:color w:val="000000"/>
          <w:sz w:val="22"/>
          <w:szCs w:val="22"/>
        </w:rPr>
      </w:pPr>
      <w:proofErr w:type="spellStart"/>
      <w:r w:rsidRPr="001D32A0">
        <w:rPr>
          <w:rStyle w:val="contentpasted0"/>
          <w:rFonts w:ascii="Cambria" w:hAnsi="Cambria" w:cs="Calibri"/>
          <w:b/>
          <w:bCs/>
          <w:color w:val="000000"/>
          <w:sz w:val="22"/>
          <w:szCs w:val="22"/>
        </w:rPr>
        <w:t>Wind</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of</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change</w:t>
      </w:r>
      <w:proofErr w:type="spellEnd"/>
      <w:r w:rsidRPr="001D32A0">
        <w:rPr>
          <w:rStyle w:val="contentpasted0"/>
          <w:rFonts w:ascii="Cambria" w:hAnsi="Cambria" w:cs="Calibri"/>
          <w:b/>
          <w:bCs/>
          <w:color w:val="000000"/>
          <w:sz w:val="22"/>
          <w:szCs w:val="22"/>
        </w:rPr>
        <w:t xml:space="preserve"> in </w:t>
      </w:r>
      <w:proofErr w:type="spellStart"/>
      <w:r w:rsidRPr="001D32A0">
        <w:rPr>
          <w:rStyle w:val="contentpasted0"/>
          <w:rFonts w:ascii="Cambria" w:hAnsi="Cambria" w:cs="Calibri"/>
          <w:b/>
          <w:bCs/>
          <w:color w:val="000000"/>
          <w:sz w:val="22"/>
          <w:szCs w:val="22"/>
        </w:rPr>
        <w:t>the</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steppes</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of</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Central</w:t>
      </w:r>
      <w:proofErr w:type="spellEnd"/>
      <w:r w:rsidRPr="001D32A0">
        <w:rPr>
          <w:rStyle w:val="contentpasted0"/>
          <w:rFonts w:ascii="Cambria" w:hAnsi="Cambria" w:cs="Calibri"/>
          <w:b/>
          <w:bCs/>
          <w:color w:val="000000"/>
          <w:sz w:val="22"/>
          <w:szCs w:val="22"/>
        </w:rPr>
        <w:t xml:space="preserve"> </w:t>
      </w:r>
      <w:proofErr w:type="spellStart"/>
      <w:r w:rsidRPr="001D32A0">
        <w:rPr>
          <w:rStyle w:val="contentpasted0"/>
          <w:rFonts w:ascii="Cambria" w:hAnsi="Cambria" w:cs="Calibri"/>
          <w:b/>
          <w:bCs/>
          <w:color w:val="000000"/>
          <w:sz w:val="22"/>
          <w:szCs w:val="22"/>
        </w:rPr>
        <w:t>Asia</w:t>
      </w:r>
      <w:proofErr w:type="spellEnd"/>
      <w:r w:rsidRPr="001D32A0">
        <w:rPr>
          <w:rStyle w:val="contentpasted0"/>
          <w:rFonts w:ascii="Cambria" w:hAnsi="Cambria" w:cs="Calibri"/>
          <w:b/>
          <w:bCs/>
          <w:color w:val="000000"/>
          <w:sz w:val="22"/>
          <w:szCs w:val="22"/>
        </w:rPr>
        <w:t xml:space="preserve">: </w:t>
      </w:r>
    </w:p>
    <w:p w14:paraId="499C4322" w14:textId="77777777" w:rsidR="00B33D21" w:rsidRPr="001D32A0" w:rsidRDefault="000C24AA" w:rsidP="000C24AA">
      <w:pPr>
        <w:pStyle w:val="Normlnweb"/>
        <w:shd w:val="clear" w:color="auto" w:fill="FFFFFF"/>
        <w:spacing w:before="0" w:beforeAutospacing="0" w:after="0" w:afterAutospacing="0"/>
        <w:jc w:val="center"/>
        <w:rPr>
          <w:rFonts w:ascii="Cambria" w:hAnsi="Cambria" w:cs="Calibri"/>
          <w:color w:val="000000"/>
          <w:sz w:val="22"/>
          <w:szCs w:val="22"/>
          <w:lang w:val="en-US"/>
        </w:rPr>
      </w:pPr>
      <w:r>
        <w:rPr>
          <w:rStyle w:val="contentpasted0"/>
          <w:rFonts w:ascii="Cambria" w:hAnsi="Cambria" w:cs="Calibri"/>
          <w:b/>
          <w:bCs/>
          <w:color w:val="000000"/>
          <w:sz w:val="22"/>
          <w:szCs w:val="22"/>
        </w:rPr>
        <w:t>C</w:t>
      </w:r>
      <w:r w:rsidR="00B33D21" w:rsidRPr="001D32A0">
        <w:rPr>
          <w:rStyle w:val="contentpasted0"/>
          <w:rFonts w:ascii="Cambria" w:hAnsi="Cambria" w:cs="Calibri"/>
          <w:b/>
          <w:bCs/>
          <w:color w:val="000000"/>
          <w:sz w:val="22"/>
          <w:szCs w:val="22"/>
        </w:rPr>
        <w:t xml:space="preserve">oming and </w:t>
      </w:r>
      <w:proofErr w:type="spellStart"/>
      <w:r w:rsidR="00B33D21" w:rsidRPr="001D32A0">
        <w:rPr>
          <w:rStyle w:val="contentpasted0"/>
          <w:rFonts w:ascii="Cambria" w:hAnsi="Cambria" w:cs="Calibri"/>
          <w:b/>
          <w:bCs/>
          <w:color w:val="000000"/>
          <w:sz w:val="22"/>
          <w:szCs w:val="22"/>
        </w:rPr>
        <w:t>going</w:t>
      </w:r>
      <w:proofErr w:type="spellEnd"/>
      <w:r w:rsidR="00B33D21" w:rsidRPr="001D32A0">
        <w:rPr>
          <w:rStyle w:val="contentpasted0"/>
          <w:rFonts w:ascii="Cambria" w:hAnsi="Cambria" w:cs="Calibri"/>
          <w:b/>
          <w:bCs/>
          <w:color w:val="000000"/>
          <w:sz w:val="22"/>
          <w:szCs w:val="22"/>
        </w:rPr>
        <w:t xml:space="preserve"> </w:t>
      </w:r>
      <w:proofErr w:type="spellStart"/>
      <w:r w:rsidR="00B33D21" w:rsidRPr="001D32A0">
        <w:rPr>
          <w:rStyle w:val="contentpasted0"/>
          <w:rFonts w:ascii="Cambria" w:hAnsi="Cambria" w:cs="Calibri"/>
          <w:b/>
          <w:bCs/>
          <w:color w:val="000000"/>
          <w:sz w:val="22"/>
          <w:szCs w:val="22"/>
        </w:rPr>
        <w:t>of</w:t>
      </w:r>
      <w:proofErr w:type="spellEnd"/>
      <w:r w:rsidR="00B33D21" w:rsidRPr="001D32A0">
        <w:rPr>
          <w:rStyle w:val="contentpasted0"/>
          <w:rFonts w:ascii="Cambria" w:hAnsi="Cambria" w:cs="Calibri"/>
          <w:b/>
          <w:bCs/>
          <w:color w:val="000000"/>
          <w:sz w:val="22"/>
          <w:szCs w:val="22"/>
        </w:rPr>
        <w:t xml:space="preserve"> </w:t>
      </w:r>
      <w:proofErr w:type="spellStart"/>
      <w:r w:rsidR="00B33D21" w:rsidRPr="001D32A0">
        <w:rPr>
          <w:rStyle w:val="contentpasted0"/>
          <w:rFonts w:ascii="Cambria" w:hAnsi="Cambria" w:cs="Calibri"/>
          <w:b/>
          <w:bCs/>
          <w:color w:val="000000"/>
          <w:sz w:val="22"/>
          <w:szCs w:val="22"/>
        </w:rPr>
        <w:t>Greeks</w:t>
      </w:r>
      <w:proofErr w:type="spellEnd"/>
      <w:r w:rsidR="00B33D21" w:rsidRPr="001D32A0">
        <w:rPr>
          <w:rStyle w:val="contentpasted0"/>
          <w:rFonts w:ascii="Cambria" w:hAnsi="Cambria" w:cs="Calibri"/>
          <w:b/>
          <w:bCs/>
          <w:color w:val="000000"/>
          <w:sz w:val="22"/>
          <w:szCs w:val="22"/>
        </w:rPr>
        <w:t xml:space="preserve"> </w:t>
      </w:r>
      <w:proofErr w:type="spellStart"/>
      <w:r w:rsidR="00B33D21" w:rsidRPr="001D32A0">
        <w:rPr>
          <w:rStyle w:val="contentpasted0"/>
          <w:rFonts w:ascii="Cambria" w:hAnsi="Cambria" w:cs="Calibri"/>
          <w:b/>
          <w:bCs/>
          <w:color w:val="000000"/>
          <w:sz w:val="22"/>
          <w:szCs w:val="22"/>
        </w:rPr>
        <w:t>after</w:t>
      </w:r>
      <w:proofErr w:type="spellEnd"/>
      <w:r w:rsidR="00B33D21" w:rsidRPr="001D32A0">
        <w:rPr>
          <w:rStyle w:val="contentpasted0"/>
          <w:rFonts w:ascii="Cambria" w:hAnsi="Cambria" w:cs="Calibri"/>
          <w:b/>
          <w:bCs/>
          <w:color w:val="000000"/>
          <w:sz w:val="22"/>
          <w:szCs w:val="22"/>
        </w:rPr>
        <w:t xml:space="preserve"> Alexander</w:t>
      </w:r>
    </w:p>
    <w:p w14:paraId="0AC85CAD" w14:textId="77777777" w:rsidR="00B33D21" w:rsidRPr="001D32A0" w:rsidRDefault="00B33D21" w:rsidP="000C24AA">
      <w:pPr>
        <w:pStyle w:val="Normlnweb"/>
        <w:shd w:val="clear" w:color="auto" w:fill="FFFFFF"/>
        <w:spacing w:before="0" w:beforeAutospacing="0" w:after="0" w:afterAutospacing="0"/>
        <w:jc w:val="center"/>
        <w:rPr>
          <w:rFonts w:ascii="Cambria" w:hAnsi="Cambria" w:cs="Calibri"/>
          <w:color w:val="000000"/>
          <w:sz w:val="22"/>
          <w:szCs w:val="22"/>
        </w:rPr>
      </w:pPr>
      <w:r w:rsidRPr="001D32A0">
        <w:rPr>
          <w:rStyle w:val="contentpasted0"/>
          <w:rFonts w:ascii="Cambria" w:hAnsi="Cambria" w:cs="Calibri"/>
          <w:color w:val="000000"/>
          <w:sz w:val="22"/>
          <w:szCs w:val="22"/>
        </w:rPr>
        <w:t>Ladislav Stančo, Jan Kysela, Jakub Havlík (WP3</w:t>
      </w:r>
      <w:r w:rsidRPr="001D32A0">
        <w:rPr>
          <w:rStyle w:val="contentpasted0"/>
          <w:rFonts w:ascii="Cambria" w:hAnsi="Cambria" w:cs="Calibri"/>
          <w:color w:val="000000"/>
          <w:sz w:val="22"/>
          <w:szCs w:val="22"/>
          <w:lang w:val="en-US"/>
        </w:rPr>
        <w:t>;</w:t>
      </w:r>
      <w:r w:rsidRPr="001D32A0">
        <w:rPr>
          <w:rStyle w:val="contentpasted0"/>
          <w:rFonts w:ascii="Cambria" w:hAnsi="Cambria" w:cs="Calibri"/>
          <w:color w:val="000000"/>
          <w:sz w:val="22"/>
          <w:szCs w:val="22"/>
        </w:rPr>
        <w:t xml:space="preserve"> </w:t>
      </w:r>
      <w:r w:rsidRPr="001D32A0">
        <w:rPr>
          <w:rFonts w:ascii="Cambria" w:hAnsi="Cambria" w:cs="Calibri"/>
          <w:color w:val="000000"/>
          <w:sz w:val="22"/>
          <w:szCs w:val="22"/>
        </w:rPr>
        <w:t xml:space="preserve">Institute </w:t>
      </w:r>
      <w:proofErr w:type="spellStart"/>
      <w:r w:rsidRPr="001D32A0">
        <w:rPr>
          <w:rFonts w:ascii="Cambria" w:hAnsi="Cambria" w:cs="Calibri"/>
          <w:color w:val="000000"/>
          <w:sz w:val="22"/>
          <w:szCs w:val="22"/>
        </w:rPr>
        <w:t>of</w:t>
      </w:r>
      <w:proofErr w:type="spellEnd"/>
      <w:r w:rsidRPr="001D32A0">
        <w:rPr>
          <w:rFonts w:ascii="Cambria" w:hAnsi="Cambria" w:cs="Calibri"/>
          <w:color w:val="000000"/>
          <w:sz w:val="22"/>
          <w:szCs w:val="22"/>
        </w:rPr>
        <w:t xml:space="preserve"> </w:t>
      </w:r>
      <w:proofErr w:type="spellStart"/>
      <w:r w:rsidRPr="001D32A0">
        <w:rPr>
          <w:rFonts w:ascii="Cambria" w:hAnsi="Cambria" w:cs="Calibri"/>
          <w:color w:val="000000"/>
          <w:sz w:val="22"/>
          <w:szCs w:val="22"/>
        </w:rPr>
        <w:t>Classical</w:t>
      </w:r>
      <w:proofErr w:type="spellEnd"/>
      <w:r w:rsidRPr="001D32A0">
        <w:rPr>
          <w:rFonts w:ascii="Cambria" w:hAnsi="Cambria" w:cs="Calibri"/>
          <w:color w:val="000000"/>
          <w:sz w:val="22"/>
          <w:szCs w:val="22"/>
        </w:rPr>
        <w:t xml:space="preserve"> Archeology)</w:t>
      </w:r>
      <w:r w:rsidRPr="001D32A0">
        <w:rPr>
          <w:rFonts w:ascii="Cambria" w:hAnsi="Cambria" w:cs="Calibri"/>
          <w:b/>
          <w:bCs/>
          <w:color w:val="000000"/>
          <w:sz w:val="22"/>
          <w:szCs w:val="22"/>
          <w:lang w:val="en-GB"/>
        </w:rPr>
        <w:br/>
      </w:r>
    </w:p>
    <w:p w14:paraId="43980CD9" w14:textId="77777777" w:rsidR="003F5E7F" w:rsidRDefault="00B33D21" w:rsidP="00A3574E">
      <w:pPr>
        <w:pStyle w:val="Normlnweb"/>
        <w:shd w:val="clear" w:color="auto" w:fill="FFFFFF"/>
        <w:spacing w:before="0" w:beforeAutospacing="0" w:after="0" w:afterAutospacing="0"/>
        <w:jc w:val="both"/>
        <w:rPr>
          <w:rFonts w:ascii="Cambria" w:hAnsi="Cambria" w:cs="Calibri"/>
          <w:color w:val="000000"/>
          <w:sz w:val="22"/>
          <w:szCs w:val="22"/>
        </w:rPr>
      </w:pPr>
      <w:proofErr w:type="spellStart"/>
      <w:r w:rsidRPr="001D32A0">
        <w:rPr>
          <w:rStyle w:val="contentpasted0"/>
          <w:rFonts w:ascii="Cambria" w:hAnsi="Cambria" w:cs="Calibri"/>
          <w:color w:val="000000"/>
          <w:sz w:val="22"/>
          <w:szCs w:val="22"/>
        </w:rPr>
        <w:t>Southern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Central</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Asia</w:t>
      </w:r>
      <w:proofErr w:type="spellEnd"/>
      <w:r w:rsidRPr="001D32A0">
        <w:rPr>
          <w:rStyle w:val="contentpasted0"/>
          <w:rFonts w:ascii="Cambria" w:hAnsi="Cambria" w:cs="Calibri"/>
          <w:color w:val="000000"/>
          <w:sz w:val="22"/>
          <w:szCs w:val="22"/>
        </w:rPr>
        <w:t xml:space="preserve"> as a </w:t>
      </w:r>
      <w:proofErr w:type="spellStart"/>
      <w:r w:rsidRPr="001D32A0">
        <w:rPr>
          <w:rStyle w:val="contentpasted0"/>
          <w:rFonts w:ascii="Cambria" w:hAnsi="Cambria" w:cs="Calibri"/>
          <w:color w:val="000000"/>
          <w:sz w:val="22"/>
          <w:szCs w:val="22"/>
        </w:rPr>
        <w:t>crossroads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cultures</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civilisations</w:t>
      </w:r>
      <w:proofErr w:type="spellEnd"/>
      <w:r w:rsidRPr="001D32A0">
        <w:rPr>
          <w:rStyle w:val="contentpasted0"/>
          <w:rFonts w:ascii="Cambria" w:hAnsi="Cambria" w:cs="Calibri"/>
          <w:color w:val="000000"/>
          <w:sz w:val="22"/>
          <w:szCs w:val="22"/>
        </w:rPr>
        <w:t xml:space="preserve"> bore </w:t>
      </w:r>
      <w:proofErr w:type="spellStart"/>
      <w:r w:rsidRPr="001D32A0">
        <w:rPr>
          <w:rStyle w:val="contentpasted0"/>
          <w:rFonts w:ascii="Cambria" w:hAnsi="Cambria" w:cs="Calibri"/>
          <w:color w:val="000000"/>
          <w:sz w:val="22"/>
          <w:szCs w:val="22"/>
        </w:rPr>
        <w:t>witness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throughout</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Prehistory</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history</w:t>
      </w:r>
      <w:proofErr w:type="spellEnd"/>
      <w:r w:rsidRPr="001D32A0">
        <w:rPr>
          <w:rStyle w:val="contentpasted0"/>
          <w:rFonts w:ascii="Cambria" w:hAnsi="Cambria" w:cs="Calibri"/>
          <w:color w:val="000000"/>
          <w:sz w:val="22"/>
          <w:szCs w:val="22"/>
        </w:rPr>
        <w:t xml:space="preserve"> to </w:t>
      </w:r>
      <w:r w:rsidR="00B5183B">
        <w:rPr>
          <w:rStyle w:val="contentpasted0"/>
          <w:rFonts w:ascii="Cambria" w:hAnsi="Cambria" w:cs="Calibri"/>
          <w:color w:val="000000"/>
          <w:sz w:val="22"/>
          <w:szCs w:val="22"/>
        </w:rPr>
        <w:t xml:space="preserve">a </w:t>
      </w:r>
      <w:proofErr w:type="spellStart"/>
      <w:r w:rsidRPr="001D32A0">
        <w:rPr>
          <w:rStyle w:val="contentpasted0"/>
          <w:rFonts w:ascii="Cambria" w:hAnsi="Cambria" w:cs="Calibri"/>
          <w:color w:val="000000"/>
          <w:sz w:val="22"/>
          <w:szCs w:val="22"/>
        </w:rPr>
        <w:t>number</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waves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newcomers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typically</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nomadic</w:t>
      </w:r>
      <w:proofErr w:type="spellEnd"/>
      <w:r w:rsidRPr="001D32A0">
        <w:rPr>
          <w:rStyle w:val="contentpasted0"/>
          <w:rFonts w:ascii="Cambria" w:hAnsi="Cambria" w:cs="Calibri"/>
          <w:color w:val="000000"/>
          <w:sz w:val="22"/>
          <w:szCs w:val="22"/>
        </w:rPr>
        <w:t xml:space="preserve"> in </w:t>
      </w:r>
      <w:proofErr w:type="spellStart"/>
      <w:r w:rsidRPr="001D32A0">
        <w:rPr>
          <w:rStyle w:val="contentpasted0"/>
          <w:rFonts w:ascii="Cambria" w:hAnsi="Cambria" w:cs="Calibri"/>
          <w:color w:val="000000"/>
          <w:sz w:val="22"/>
          <w:szCs w:val="22"/>
        </w:rPr>
        <w:t>their</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origin</w:t>
      </w:r>
      <w:proofErr w:type="spellEnd"/>
      <w:r w:rsidRPr="001D32A0">
        <w:rPr>
          <w:rStyle w:val="contentpasted0"/>
          <w:rFonts w:ascii="Cambria" w:hAnsi="Cambria" w:cs="Calibri"/>
          <w:color w:val="000000"/>
          <w:sz w:val="22"/>
          <w:szCs w:val="22"/>
        </w:rPr>
        <w:t xml:space="preserve">. These </w:t>
      </w:r>
      <w:proofErr w:type="spellStart"/>
      <w:r w:rsidRPr="001D32A0">
        <w:rPr>
          <w:rStyle w:val="contentpasted0"/>
          <w:rFonts w:ascii="Cambria" w:hAnsi="Cambria" w:cs="Calibri"/>
          <w:color w:val="000000"/>
          <w:sz w:val="22"/>
          <w:szCs w:val="22"/>
        </w:rPr>
        <w:t>peoples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every</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now</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then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arrived</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from</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the</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northern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Eurasian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steppe</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belt</w:t>
      </w:r>
      <w:proofErr w:type="spellEnd"/>
      <w:r w:rsidRPr="001D32A0">
        <w:rPr>
          <w:rStyle w:val="contentpasted0"/>
          <w:rFonts w:ascii="Cambria" w:hAnsi="Cambria" w:cs="Calibri"/>
          <w:color w:val="000000"/>
          <w:sz w:val="22"/>
          <w:szCs w:val="22"/>
        </w:rPr>
        <w:t xml:space="preserve"> to </w:t>
      </w:r>
      <w:proofErr w:type="spellStart"/>
      <w:r w:rsidRPr="001D32A0">
        <w:rPr>
          <w:rStyle w:val="contentpasted0"/>
          <w:rFonts w:ascii="Cambria" w:hAnsi="Cambria" w:cs="Calibri"/>
          <w:color w:val="000000"/>
          <w:sz w:val="22"/>
          <w:szCs w:val="22"/>
        </w:rPr>
        <w:t>enrich</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the</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melting</w:t>
      </w:r>
      <w:proofErr w:type="spellEnd"/>
      <w:r w:rsidRPr="001D32A0">
        <w:rPr>
          <w:rStyle w:val="contentpasted0"/>
          <w:rFonts w:ascii="Cambria" w:hAnsi="Cambria" w:cs="Calibri"/>
          <w:color w:val="000000"/>
          <w:sz w:val="22"/>
          <w:szCs w:val="22"/>
        </w:rPr>
        <w:t xml:space="preserve"> pot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ideas</w:t>
      </w:r>
      <w:proofErr w:type="spellEnd"/>
      <w:r w:rsidRPr="001D32A0">
        <w:rPr>
          <w:rStyle w:val="contentpasted0"/>
          <w:rFonts w:ascii="Cambria" w:hAnsi="Cambria" w:cs="Calibri"/>
          <w:color w:val="000000"/>
          <w:sz w:val="22"/>
          <w:szCs w:val="22"/>
        </w:rPr>
        <w:t xml:space="preserve">, subsistence </w:t>
      </w:r>
      <w:proofErr w:type="spellStart"/>
      <w:r w:rsidRPr="001D32A0">
        <w:rPr>
          <w:rStyle w:val="contentpasted0"/>
          <w:rFonts w:ascii="Cambria" w:hAnsi="Cambria" w:cs="Calibri"/>
          <w:color w:val="000000"/>
          <w:sz w:val="22"/>
          <w:szCs w:val="22"/>
        </w:rPr>
        <w:t>strategies</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languages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often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seizing</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power</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over</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local</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oases</w:t>
      </w:r>
      <w:proofErr w:type="spellEnd"/>
      <w:r w:rsidRPr="001D32A0">
        <w:rPr>
          <w:rStyle w:val="contentpasted0"/>
          <w:rFonts w:ascii="Cambria" w:hAnsi="Cambria" w:cs="Calibri"/>
          <w:color w:val="000000"/>
          <w:sz w:val="22"/>
          <w:szCs w:val="22"/>
        </w:rPr>
        <w:t xml:space="preserve"> in </w:t>
      </w:r>
      <w:proofErr w:type="spellStart"/>
      <w:r w:rsidRPr="001D32A0">
        <w:rPr>
          <w:rStyle w:val="contentpasted0"/>
          <w:rFonts w:ascii="Cambria" w:hAnsi="Cambria" w:cs="Calibri"/>
          <w:color w:val="000000"/>
          <w:sz w:val="22"/>
          <w:szCs w:val="22"/>
        </w:rPr>
        <w:t>the</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process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Greco-Macedonian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invasion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was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different</w:t>
      </w:r>
      <w:proofErr w:type="spellEnd"/>
      <w:r w:rsidRPr="001D32A0">
        <w:rPr>
          <w:rStyle w:val="contentpasted0"/>
          <w:rFonts w:ascii="Cambria" w:hAnsi="Cambria" w:cs="Calibri"/>
          <w:color w:val="000000"/>
          <w:sz w:val="22"/>
          <w:szCs w:val="22"/>
        </w:rPr>
        <w:t xml:space="preserve"> on many </w:t>
      </w:r>
      <w:proofErr w:type="spellStart"/>
      <w:r w:rsidRPr="001D32A0">
        <w:rPr>
          <w:rStyle w:val="contentpasted0"/>
          <w:rFonts w:ascii="Cambria" w:hAnsi="Cambria" w:cs="Calibri"/>
          <w:color w:val="000000"/>
          <w:sz w:val="22"/>
          <w:szCs w:val="22"/>
        </w:rPr>
        <w:t>levels</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its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impact</w:t>
      </w:r>
      <w:proofErr w:type="spellEnd"/>
      <w:r w:rsidRPr="001D32A0">
        <w:rPr>
          <w:rStyle w:val="contentpasted0"/>
          <w:rFonts w:ascii="Cambria" w:hAnsi="Cambria" w:cs="Calibri"/>
          <w:color w:val="000000"/>
          <w:sz w:val="22"/>
          <w:szCs w:val="22"/>
        </w:rPr>
        <w:t xml:space="preserve"> on </w:t>
      </w:r>
      <w:proofErr w:type="spellStart"/>
      <w:r w:rsidRPr="001D32A0">
        <w:rPr>
          <w:rStyle w:val="contentpasted0"/>
          <w:rFonts w:ascii="Cambria" w:hAnsi="Cambria" w:cs="Calibri"/>
          <w:color w:val="000000"/>
          <w:sz w:val="22"/>
          <w:szCs w:val="22"/>
        </w:rPr>
        <w:t>local</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population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was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multi-layered</w:t>
      </w:r>
      <w:proofErr w:type="spellEnd"/>
      <w:r w:rsidRPr="001D32A0">
        <w:rPr>
          <w:rStyle w:val="contentpasted0"/>
          <w:rFonts w:ascii="Cambria" w:hAnsi="Cambria" w:cs="Calibri"/>
          <w:color w:val="000000"/>
          <w:sz w:val="22"/>
          <w:szCs w:val="22"/>
        </w:rPr>
        <w:t xml:space="preserve"> and </w:t>
      </w:r>
      <w:proofErr w:type="spellStart"/>
      <w:r w:rsidRPr="001D32A0">
        <w:rPr>
          <w:rStyle w:val="contentpasted0"/>
          <w:rFonts w:ascii="Cambria" w:hAnsi="Cambria" w:cs="Calibri"/>
          <w:color w:val="000000"/>
          <w:sz w:val="22"/>
          <w:szCs w:val="22"/>
        </w:rPr>
        <w:t>is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easily</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traceable</w:t>
      </w:r>
      <w:proofErr w:type="spellEnd"/>
      <w:r w:rsidRPr="001D32A0">
        <w:rPr>
          <w:rStyle w:val="contentpasted0"/>
          <w:rFonts w:ascii="Cambria" w:hAnsi="Cambria" w:cs="Calibri"/>
          <w:color w:val="000000"/>
          <w:sz w:val="22"/>
          <w:szCs w:val="22"/>
        </w:rPr>
        <w:t xml:space="preserve"> in </w:t>
      </w:r>
      <w:proofErr w:type="spellStart"/>
      <w:r w:rsidR="00B5183B">
        <w:rPr>
          <w:rStyle w:val="contentpasted0"/>
          <w:rFonts w:ascii="Cambria" w:hAnsi="Cambria" w:cs="Calibri"/>
          <w:color w:val="000000"/>
          <w:sz w:val="22"/>
          <w:szCs w:val="22"/>
        </w:rPr>
        <w:t>the</w:t>
      </w:r>
      <w:proofErr w:type="spellEnd"/>
      <w:r w:rsidR="00B5183B">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archaeological</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record</w:t>
      </w:r>
      <w:proofErr w:type="spellEnd"/>
      <w:r w:rsidRPr="001D32A0">
        <w:rPr>
          <w:rStyle w:val="contentpasted0"/>
          <w:rFonts w:ascii="Cambria" w:hAnsi="Cambria" w:cs="Calibri"/>
          <w:color w:val="000000"/>
          <w:sz w:val="22"/>
          <w:szCs w:val="22"/>
        </w:rPr>
        <w:t>.</w:t>
      </w:r>
      <w:r w:rsidR="00E133D1">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This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contribution</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shows</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examples</w:t>
      </w:r>
      <w:proofErr w:type="spellEnd"/>
      <w:r w:rsidRPr="001D32A0">
        <w:rPr>
          <w:rStyle w:val="contentpasted0"/>
          <w:rFonts w:ascii="Cambria" w:hAnsi="Cambria" w:cs="Calibri"/>
          <w:color w:val="000000"/>
          <w:sz w:val="22"/>
          <w:szCs w:val="22"/>
        </w:rPr>
        <w:t xml:space="preserve"> of changes in local Bactrian societies and in regional </w:t>
      </w:r>
      <w:proofErr w:type="spellStart"/>
      <w:r w:rsidRPr="001D32A0">
        <w:rPr>
          <w:rStyle w:val="contentpasted0"/>
          <w:rFonts w:ascii="Cambria" w:hAnsi="Cambria" w:cs="Calibri"/>
          <w:color w:val="000000"/>
          <w:sz w:val="22"/>
          <w:szCs w:val="22"/>
        </w:rPr>
        <w:t>economy</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caused</w:t>
      </w:r>
      <w:proofErr w:type="spellEnd"/>
      <w:r w:rsidRPr="001D32A0">
        <w:rPr>
          <w:rStyle w:val="contentpasted0"/>
          <w:rFonts w:ascii="Cambria" w:hAnsi="Cambria" w:cs="Calibri"/>
          <w:color w:val="000000"/>
          <w:sz w:val="22"/>
          <w:szCs w:val="22"/>
        </w:rPr>
        <w:t xml:space="preserve"> by </w:t>
      </w:r>
      <w:proofErr w:type="spellStart"/>
      <w:r w:rsidR="00B5183B">
        <w:rPr>
          <w:rStyle w:val="contentpasted0"/>
          <w:rFonts w:ascii="Cambria" w:hAnsi="Cambria" w:cs="Calibri"/>
          <w:color w:val="000000"/>
          <w:sz w:val="22"/>
          <w:szCs w:val="22"/>
        </w:rPr>
        <w:t>the</w:t>
      </w:r>
      <w:proofErr w:type="spellEnd"/>
      <w:r w:rsidR="00B5183B">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arrival</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proofErr w:type="spellStart"/>
      <w:r w:rsidR="00B5183B">
        <w:rPr>
          <w:rStyle w:val="contentpasted0"/>
          <w:rFonts w:ascii="Cambria" w:hAnsi="Cambria" w:cs="Calibri"/>
          <w:color w:val="000000"/>
          <w:sz w:val="22"/>
          <w:szCs w:val="22"/>
        </w:rPr>
        <w:t>the</w:t>
      </w:r>
      <w:proofErr w:type="spellEnd"/>
      <w:r w:rsidR="00B5183B">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Greeks</w:t>
      </w:r>
      <w:proofErr w:type="spellEnd"/>
      <w:r w:rsidRPr="001D32A0">
        <w:rPr>
          <w:rStyle w:val="contentpasted0"/>
          <w:rFonts w:ascii="Cambria" w:hAnsi="Cambria" w:cs="Calibri"/>
          <w:color w:val="000000"/>
          <w:sz w:val="22"/>
          <w:szCs w:val="22"/>
        </w:rPr>
        <w:t xml:space="preserve">, but </w:t>
      </w:r>
      <w:proofErr w:type="spellStart"/>
      <w:r w:rsidRPr="001D32A0">
        <w:rPr>
          <w:rStyle w:val="contentpasted0"/>
          <w:rFonts w:ascii="Cambria" w:hAnsi="Cambria" w:cs="Calibri"/>
          <w:color w:val="000000"/>
          <w:sz w:val="22"/>
          <w:szCs w:val="22"/>
        </w:rPr>
        <w:t>also</w:t>
      </w:r>
      <w:proofErr w:type="spellEnd"/>
      <w:r w:rsidRPr="001D32A0">
        <w:rPr>
          <w:rStyle w:val="contentpasted0"/>
          <w:rFonts w:ascii="Cambria" w:hAnsi="Cambria" w:cs="Calibri"/>
          <w:color w:val="000000"/>
          <w:sz w:val="22"/>
          <w:szCs w:val="22"/>
        </w:rPr>
        <w:t xml:space="preserve"> those related to their loss of control that </w:t>
      </w:r>
      <w:proofErr w:type="spellStart"/>
      <w:r w:rsidRPr="001D32A0">
        <w:rPr>
          <w:rStyle w:val="contentpasted0"/>
          <w:rFonts w:ascii="Cambria" w:hAnsi="Cambria" w:cs="Calibri"/>
          <w:color w:val="000000"/>
          <w:sz w:val="22"/>
          <w:szCs w:val="22"/>
        </w:rPr>
        <w:t>we</w:t>
      </w:r>
      <w:proofErr w:type="spellEnd"/>
      <w:r w:rsidRPr="001D32A0">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have</w:t>
      </w:r>
      <w:proofErr w:type="spellEnd"/>
      <w:r w:rsidRPr="001D32A0">
        <w:rPr>
          <w:rStyle w:val="contentpasted0"/>
          <w:rFonts w:ascii="Cambria" w:hAnsi="Cambria" w:cs="Calibri"/>
          <w:color w:val="000000"/>
          <w:sz w:val="22"/>
          <w:szCs w:val="22"/>
        </w:rPr>
        <w:t xml:space="preserve"> had </w:t>
      </w:r>
      <w:proofErr w:type="spellStart"/>
      <w:r w:rsidR="00B5183B">
        <w:rPr>
          <w:rStyle w:val="contentpasted0"/>
          <w:rFonts w:ascii="Cambria" w:hAnsi="Cambria" w:cs="Calibri"/>
          <w:color w:val="000000"/>
          <w:sz w:val="22"/>
          <w:szCs w:val="22"/>
        </w:rPr>
        <w:t>an</w:t>
      </w:r>
      <w:proofErr w:type="spellEnd"/>
      <w:r w:rsidR="00B5183B">
        <w:rPr>
          <w:rStyle w:val="contentpasted0"/>
          <w:rFonts w:ascii="Cambria" w:hAnsi="Cambria" w:cs="Calibri"/>
          <w:color w:val="000000"/>
          <w:sz w:val="22"/>
          <w:szCs w:val="22"/>
        </w:rPr>
        <w:t xml:space="preserve"> </w:t>
      </w:r>
      <w:proofErr w:type="spellStart"/>
      <w:r w:rsidRPr="001D32A0">
        <w:rPr>
          <w:rStyle w:val="contentpasted0"/>
          <w:rFonts w:ascii="Cambria" w:hAnsi="Cambria" w:cs="Calibri"/>
          <w:color w:val="000000"/>
          <w:sz w:val="22"/>
          <w:szCs w:val="22"/>
        </w:rPr>
        <w:t>opportunity</w:t>
      </w:r>
      <w:proofErr w:type="spellEnd"/>
      <w:r w:rsidRPr="001D32A0">
        <w:rPr>
          <w:rStyle w:val="contentpasted0"/>
          <w:rFonts w:ascii="Cambria" w:hAnsi="Cambria" w:cs="Calibri"/>
          <w:color w:val="000000"/>
          <w:sz w:val="22"/>
          <w:szCs w:val="22"/>
        </w:rPr>
        <w:t xml:space="preserve"> to study </w:t>
      </w:r>
      <w:proofErr w:type="spellStart"/>
      <w:r w:rsidRPr="001D32A0">
        <w:rPr>
          <w:rStyle w:val="contentpasted0"/>
          <w:rFonts w:ascii="Cambria" w:hAnsi="Cambria" w:cs="Calibri"/>
          <w:color w:val="000000"/>
          <w:sz w:val="22"/>
          <w:szCs w:val="22"/>
        </w:rPr>
        <w:t>during</w:t>
      </w:r>
      <w:proofErr w:type="spellEnd"/>
      <w:r w:rsidRPr="001D32A0">
        <w:rPr>
          <w:rStyle w:val="contentpasted0"/>
          <w:rFonts w:ascii="Cambria" w:hAnsi="Cambria" w:cs="Calibri"/>
          <w:color w:val="000000"/>
          <w:sz w:val="22"/>
          <w:szCs w:val="22"/>
        </w:rPr>
        <w:t xml:space="preserve"> last five years under </w:t>
      </w:r>
      <w:proofErr w:type="spellStart"/>
      <w:r w:rsidRPr="001D32A0">
        <w:rPr>
          <w:rStyle w:val="contentpasted0"/>
          <w:rFonts w:ascii="Cambria" w:hAnsi="Cambria" w:cs="Calibri"/>
          <w:color w:val="000000"/>
          <w:sz w:val="22"/>
          <w:szCs w:val="22"/>
        </w:rPr>
        <w:t>the</w:t>
      </w:r>
      <w:proofErr w:type="spellEnd"/>
      <w:r w:rsidRPr="001D32A0">
        <w:rPr>
          <w:rStyle w:val="contentpasted0"/>
          <w:rFonts w:ascii="Cambria" w:hAnsi="Cambria" w:cs="Calibri"/>
          <w:color w:val="000000"/>
          <w:sz w:val="22"/>
          <w:szCs w:val="22"/>
        </w:rPr>
        <w:t xml:space="preserve"> aegis </w:t>
      </w:r>
      <w:proofErr w:type="spellStart"/>
      <w:r w:rsidRPr="001D32A0">
        <w:rPr>
          <w:rStyle w:val="contentpasted0"/>
          <w:rFonts w:ascii="Cambria" w:hAnsi="Cambria" w:cs="Calibri"/>
          <w:color w:val="000000"/>
          <w:sz w:val="22"/>
          <w:szCs w:val="22"/>
        </w:rPr>
        <w:t>of</w:t>
      </w:r>
      <w:proofErr w:type="spellEnd"/>
      <w:r w:rsidRPr="001D32A0">
        <w:rPr>
          <w:rStyle w:val="contentpasted0"/>
          <w:rFonts w:ascii="Cambria" w:hAnsi="Cambria" w:cs="Calibri"/>
          <w:color w:val="000000"/>
          <w:sz w:val="22"/>
          <w:szCs w:val="22"/>
        </w:rPr>
        <w:t xml:space="preserve"> </w:t>
      </w:r>
      <w:r w:rsidR="00B5183B">
        <w:rPr>
          <w:rStyle w:val="contentpasted0"/>
          <w:rFonts w:ascii="Cambria" w:hAnsi="Cambria" w:cs="Calibri"/>
          <w:color w:val="000000"/>
          <w:sz w:val="22"/>
          <w:szCs w:val="22"/>
        </w:rPr>
        <w:t>KREAS</w:t>
      </w:r>
      <w:r w:rsidRPr="001D32A0">
        <w:rPr>
          <w:rStyle w:val="contentpasted0"/>
          <w:rFonts w:ascii="Cambria" w:hAnsi="Cambria" w:cs="Calibri"/>
          <w:color w:val="000000"/>
          <w:sz w:val="22"/>
          <w:szCs w:val="22"/>
        </w:rPr>
        <w:t>.</w:t>
      </w:r>
    </w:p>
    <w:p w14:paraId="3B31BCEB" w14:textId="77777777" w:rsidR="000C24AA" w:rsidRDefault="008973F6" w:rsidP="00A3574E">
      <w:pPr>
        <w:spacing w:before="240"/>
        <w:jc w:val="center"/>
        <w:rPr>
          <w:rFonts w:ascii="Cambria" w:hAnsi="Cambria"/>
          <w:b/>
          <w:bCs/>
          <w:sz w:val="22"/>
          <w:szCs w:val="22"/>
        </w:rPr>
      </w:pPr>
      <w:r w:rsidRPr="008973F6">
        <w:rPr>
          <w:rFonts w:ascii="Cambria" w:hAnsi="Cambria"/>
          <w:b/>
          <w:bCs/>
          <w:sz w:val="22"/>
          <w:szCs w:val="22"/>
        </w:rPr>
        <w:t xml:space="preserve">Spatial </w:t>
      </w:r>
      <w:r w:rsidR="000C24AA">
        <w:rPr>
          <w:rFonts w:ascii="Cambria" w:hAnsi="Cambria"/>
          <w:b/>
          <w:bCs/>
          <w:sz w:val="22"/>
          <w:szCs w:val="22"/>
        </w:rPr>
        <w:t>e</w:t>
      </w:r>
      <w:r w:rsidRPr="008973F6">
        <w:rPr>
          <w:rFonts w:ascii="Cambria" w:hAnsi="Cambria"/>
          <w:b/>
          <w:bCs/>
          <w:sz w:val="22"/>
          <w:szCs w:val="22"/>
        </w:rPr>
        <w:t xml:space="preserve">ncoding in Czech: </w:t>
      </w:r>
    </w:p>
    <w:p w14:paraId="7E296646" w14:textId="77777777" w:rsidR="008973F6" w:rsidRPr="008973F6" w:rsidRDefault="008973F6" w:rsidP="000C24AA">
      <w:pPr>
        <w:jc w:val="center"/>
        <w:rPr>
          <w:rFonts w:ascii="Cambria" w:hAnsi="Cambria"/>
          <w:b/>
          <w:bCs/>
          <w:sz w:val="22"/>
          <w:szCs w:val="22"/>
        </w:rPr>
      </w:pPr>
      <w:r w:rsidRPr="008973F6">
        <w:rPr>
          <w:rFonts w:ascii="Cambria" w:hAnsi="Cambria"/>
          <w:b/>
          <w:bCs/>
          <w:sz w:val="22"/>
          <w:szCs w:val="22"/>
        </w:rPr>
        <w:t xml:space="preserve">The </w:t>
      </w:r>
      <w:r w:rsidR="000C24AA">
        <w:rPr>
          <w:rFonts w:ascii="Cambria" w:hAnsi="Cambria"/>
          <w:b/>
          <w:bCs/>
          <w:sz w:val="22"/>
          <w:szCs w:val="22"/>
        </w:rPr>
        <w:t>e</w:t>
      </w:r>
      <w:r w:rsidRPr="008973F6">
        <w:rPr>
          <w:rFonts w:ascii="Cambria" w:hAnsi="Cambria"/>
          <w:b/>
          <w:bCs/>
          <w:sz w:val="22"/>
          <w:szCs w:val="22"/>
        </w:rPr>
        <w:t xml:space="preserve">xpression of </w:t>
      </w:r>
      <w:r w:rsidR="000C24AA">
        <w:rPr>
          <w:rFonts w:ascii="Cambria" w:hAnsi="Cambria"/>
          <w:b/>
          <w:bCs/>
          <w:sz w:val="22"/>
          <w:szCs w:val="22"/>
        </w:rPr>
        <w:t>m</w:t>
      </w:r>
      <w:r w:rsidRPr="008973F6">
        <w:rPr>
          <w:rFonts w:ascii="Cambria" w:hAnsi="Cambria"/>
          <w:b/>
          <w:bCs/>
          <w:sz w:val="22"/>
          <w:szCs w:val="22"/>
        </w:rPr>
        <w:t xml:space="preserve">otion </w:t>
      </w:r>
      <w:r w:rsidR="000C24AA">
        <w:rPr>
          <w:rFonts w:ascii="Cambria" w:hAnsi="Cambria"/>
          <w:b/>
          <w:bCs/>
          <w:sz w:val="22"/>
          <w:szCs w:val="22"/>
        </w:rPr>
        <w:t>e</w:t>
      </w:r>
      <w:r w:rsidRPr="008973F6">
        <w:rPr>
          <w:rFonts w:ascii="Cambria" w:hAnsi="Cambria"/>
          <w:b/>
          <w:bCs/>
          <w:sz w:val="22"/>
          <w:szCs w:val="22"/>
        </w:rPr>
        <w:t xml:space="preserve">vents by Czech </w:t>
      </w:r>
      <w:r w:rsidR="000C24AA">
        <w:rPr>
          <w:rFonts w:ascii="Cambria" w:hAnsi="Cambria"/>
          <w:b/>
          <w:bCs/>
          <w:sz w:val="22"/>
          <w:szCs w:val="22"/>
        </w:rPr>
        <w:t>n</w:t>
      </w:r>
      <w:r w:rsidRPr="008973F6">
        <w:rPr>
          <w:rFonts w:ascii="Cambria" w:hAnsi="Cambria"/>
          <w:b/>
          <w:bCs/>
          <w:sz w:val="22"/>
          <w:szCs w:val="22"/>
        </w:rPr>
        <w:t xml:space="preserve">ative vs. </w:t>
      </w:r>
      <w:r w:rsidR="000C24AA">
        <w:rPr>
          <w:rFonts w:ascii="Cambria" w:hAnsi="Cambria"/>
          <w:b/>
          <w:bCs/>
          <w:sz w:val="22"/>
          <w:szCs w:val="22"/>
        </w:rPr>
        <w:t>n</w:t>
      </w:r>
      <w:r w:rsidRPr="008973F6">
        <w:rPr>
          <w:rFonts w:ascii="Cambria" w:hAnsi="Cambria"/>
          <w:b/>
          <w:bCs/>
          <w:sz w:val="22"/>
          <w:szCs w:val="22"/>
        </w:rPr>
        <w:t>on-</w:t>
      </w:r>
      <w:proofErr w:type="spellStart"/>
      <w:r w:rsidRPr="008973F6">
        <w:rPr>
          <w:rFonts w:ascii="Cambria" w:hAnsi="Cambria"/>
          <w:b/>
          <w:bCs/>
          <w:sz w:val="22"/>
          <w:szCs w:val="22"/>
        </w:rPr>
        <w:t>N</w:t>
      </w:r>
      <w:r w:rsidR="000C24AA">
        <w:rPr>
          <w:rFonts w:ascii="Cambria" w:hAnsi="Cambria"/>
          <w:b/>
          <w:bCs/>
          <w:sz w:val="22"/>
          <w:szCs w:val="22"/>
        </w:rPr>
        <w:t>n</w:t>
      </w:r>
      <w:r w:rsidRPr="008973F6">
        <w:rPr>
          <w:rFonts w:ascii="Cambria" w:hAnsi="Cambria"/>
          <w:b/>
          <w:bCs/>
          <w:sz w:val="22"/>
          <w:szCs w:val="22"/>
        </w:rPr>
        <w:t>ative</w:t>
      </w:r>
      <w:proofErr w:type="spellEnd"/>
      <w:r w:rsidRPr="008973F6">
        <w:rPr>
          <w:rFonts w:ascii="Cambria" w:hAnsi="Cambria"/>
          <w:b/>
          <w:bCs/>
          <w:sz w:val="22"/>
          <w:szCs w:val="22"/>
        </w:rPr>
        <w:t xml:space="preserve"> </w:t>
      </w:r>
      <w:r w:rsidR="000C24AA">
        <w:rPr>
          <w:rFonts w:ascii="Cambria" w:hAnsi="Cambria"/>
          <w:b/>
          <w:bCs/>
          <w:sz w:val="22"/>
          <w:szCs w:val="22"/>
        </w:rPr>
        <w:t>s</w:t>
      </w:r>
      <w:r w:rsidRPr="008973F6">
        <w:rPr>
          <w:rFonts w:ascii="Cambria" w:hAnsi="Cambria"/>
          <w:b/>
          <w:bCs/>
          <w:sz w:val="22"/>
          <w:szCs w:val="22"/>
        </w:rPr>
        <w:t>peakers</w:t>
      </w:r>
    </w:p>
    <w:p w14:paraId="154582A5" w14:textId="77777777" w:rsidR="008973F6" w:rsidRPr="001D32A0" w:rsidRDefault="008973F6" w:rsidP="000C24AA">
      <w:pPr>
        <w:jc w:val="center"/>
        <w:rPr>
          <w:rFonts w:ascii="Cambria" w:hAnsi="Cambria"/>
          <w:bCs/>
          <w:noProof/>
          <w:sz w:val="22"/>
          <w:szCs w:val="22"/>
        </w:rPr>
      </w:pPr>
      <w:r w:rsidRPr="001D32A0">
        <w:rPr>
          <w:rFonts w:ascii="Cambria" w:hAnsi="Cambria" w:cs="Calibri"/>
          <w:color w:val="000000"/>
          <w:sz w:val="22"/>
          <w:szCs w:val="22"/>
        </w:rPr>
        <w:t>Svatava Škodová (WP1; Institute of Czech Studies)</w:t>
      </w:r>
    </w:p>
    <w:p w14:paraId="26B1A71F" w14:textId="77777777" w:rsidR="008973F6" w:rsidRDefault="008973F6" w:rsidP="000C24AA">
      <w:pPr>
        <w:rPr>
          <w:rFonts w:ascii="Cambria" w:hAnsi="Cambria"/>
          <w:sz w:val="22"/>
          <w:szCs w:val="22"/>
        </w:rPr>
      </w:pPr>
    </w:p>
    <w:p w14:paraId="08650610" w14:textId="77777777" w:rsidR="008973F6" w:rsidRPr="008973F6" w:rsidRDefault="008973F6" w:rsidP="000C24AA">
      <w:pPr>
        <w:jc w:val="both"/>
        <w:rPr>
          <w:rFonts w:ascii="Cambria" w:hAnsi="Cambria"/>
          <w:sz w:val="22"/>
          <w:szCs w:val="22"/>
        </w:rPr>
      </w:pPr>
      <w:r w:rsidRPr="008973F6">
        <w:rPr>
          <w:rFonts w:ascii="Cambria" w:hAnsi="Cambria"/>
          <w:sz w:val="22"/>
          <w:szCs w:val="22"/>
        </w:rPr>
        <w:t xml:space="preserve">The aim of the paper is to introduce the ongoing study of motion events, especially concentrating on the verbs of motion. It examines how Czech native vs. non-native speakers lexicalize motion events and what patterns of spatial encoding they follow or deviate from. Following </w:t>
      </w:r>
      <w:proofErr w:type="spellStart"/>
      <w:r w:rsidRPr="008973F6">
        <w:rPr>
          <w:rFonts w:ascii="Cambria" w:hAnsi="Cambria"/>
          <w:sz w:val="22"/>
          <w:szCs w:val="22"/>
        </w:rPr>
        <w:t>Talmy’s</w:t>
      </w:r>
      <w:proofErr w:type="spellEnd"/>
      <w:r w:rsidRPr="008973F6">
        <w:rPr>
          <w:rFonts w:ascii="Cambria" w:hAnsi="Cambria"/>
          <w:sz w:val="22"/>
          <w:szCs w:val="22"/>
        </w:rPr>
        <w:t xml:space="preserve"> semantic classification of world languages into verb-framed and satellite-framed (</w:t>
      </w:r>
      <w:proofErr w:type="spellStart"/>
      <w:r w:rsidRPr="008973F6">
        <w:rPr>
          <w:rFonts w:ascii="Cambria" w:hAnsi="Cambria"/>
          <w:sz w:val="22"/>
          <w:szCs w:val="22"/>
        </w:rPr>
        <w:t>Talmy</w:t>
      </w:r>
      <w:proofErr w:type="spellEnd"/>
      <w:r w:rsidRPr="008973F6">
        <w:rPr>
          <w:rFonts w:ascii="Cambria" w:hAnsi="Cambria"/>
          <w:sz w:val="22"/>
          <w:szCs w:val="22"/>
        </w:rPr>
        <w:t xml:space="preserve">, 1985) that distinguishes between languages in terms of their encoding patterns of motion events, the contribution presents a comparison of the range of motion verbs used by native and non-native speakers and comments on the semantics of spatial events.  The texts of the same assignment from comparable groups of Czech native speakers and non-native Czech speakers were </w:t>
      </w:r>
      <w:proofErr w:type="spellStart"/>
      <w:r w:rsidRPr="008973F6">
        <w:rPr>
          <w:rFonts w:ascii="Cambria" w:hAnsi="Cambria"/>
          <w:sz w:val="22"/>
          <w:szCs w:val="22"/>
        </w:rPr>
        <w:t>analysed</w:t>
      </w:r>
      <w:proofErr w:type="spellEnd"/>
      <w:r w:rsidRPr="008973F6">
        <w:rPr>
          <w:rFonts w:ascii="Cambria" w:hAnsi="Cambria"/>
          <w:sz w:val="22"/>
          <w:szCs w:val="22"/>
        </w:rPr>
        <w:t>. They were obtained using an elicitation probe derived from movement acquisition research. A written production that can be categorized as a narrative in the range of 100 texts (50 texts from native Czech speakers and 50 texts from non-native Czech speakers) was elicited based on the picture book Frog, where are you? (Mayer, 1969). </w:t>
      </w:r>
    </w:p>
    <w:p w14:paraId="26A65753" w14:textId="77777777" w:rsidR="000C24AA" w:rsidRDefault="000C24AA" w:rsidP="000C24AA">
      <w:pPr>
        <w:rPr>
          <w:rFonts w:ascii="Cambria" w:hAnsi="Cambria"/>
          <w:b/>
          <w:bCs/>
          <w:sz w:val="22"/>
          <w:szCs w:val="22"/>
          <w:lang w:val="cs-CZ"/>
        </w:rPr>
      </w:pPr>
    </w:p>
    <w:p w14:paraId="5670D7E1" w14:textId="77777777" w:rsidR="00A3574E" w:rsidRDefault="00A3574E" w:rsidP="000C24AA">
      <w:pPr>
        <w:rPr>
          <w:rFonts w:ascii="Cambria" w:hAnsi="Cambria"/>
          <w:b/>
          <w:bCs/>
          <w:sz w:val="22"/>
          <w:szCs w:val="22"/>
          <w:lang w:val="cs-CZ"/>
        </w:rPr>
      </w:pPr>
    </w:p>
    <w:p w14:paraId="4216AC94" w14:textId="77777777" w:rsidR="000C24AA" w:rsidRPr="001D32A0" w:rsidRDefault="000C24AA" w:rsidP="000C24AA">
      <w:pPr>
        <w:rPr>
          <w:rFonts w:ascii="Cambria" w:hAnsi="Cambria"/>
          <w:b/>
          <w:bCs/>
          <w:sz w:val="22"/>
          <w:szCs w:val="22"/>
          <w:lang w:val="cs-CZ"/>
        </w:rPr>
      </w:pPr>
    </w:p>
    <w:p w14:paraId="7AE77B6F" w14:textId="77777777" w:rsidR="001D57C8" w:rsidRPr="001D32A0" w:rsidRDefault="001D57C8" w:rsidP="000C24AA">
      <w:pPr>
        <w:jc w:val="center"/>
        <w:rPr>
          <w:rFonts w:ascii="Cambria" w:hAnsi="Cambria"/>
          <w:b/>
          <w:bCs/>
          <w:sz w:val="22"/>
          <w:szCs w:val="22"/>
          <w:lang w:val="cs-CZ"/>
        </w:rPr>
      </w:pPr>
      <w:proofErr w:type="spellStart"/>
      <w:r w:rsidRPr="001D32A0">
        <w:rPr>
          <w:rFonts w:ascii="Cambria" w:hAnsi="Cambria"/>
          <w:b/>
          <w:bCs/>
          <w:sz w:val="22"/>
          <w:szCs w:val="22"/>
          <w:lang w:val="cs-CZ"/>
        </w:rPr>
        <w:lastRenderedPageBreak/>
        <w:t>Too</w:t>
      </w:r>
      <w:proofErr w:type="spellEnd"/>
      <w:r w:rsidRPr="001D32A0">
        <w:rPr>
          <w:rFonts w:ascii="Cambria" w:hAnsi="Cambria"/>
          <w:b/>
          <w:bCs/>
          <w:sz w:val="22"/>
          <w:szCs w:val="22"/>
          <w:lang w:val="cs-CZ"/>
        </w:rPr>
        <w:t xml:space="preserve"> much </w:t>
      </w:r>
      <w:proofErr w:type="spellStart"/>
      <w:r w:rsidRPr="001D32A0">
        <w:rPr>
          <w:rFonts w:ascii="Cambria" w:hAnsi="Cambria"/>
          <w:b/>
          <w:bCs/>
          <w:sz w:val="22"/>
          <w:szCs w:val="22"/>
          <w:lang w:val="cs-CZ"/>
        </w:rPr>
        <w:t>variation</w:t>
      </w:r>
      <w:proofErr w:type="spellEnd"/>
      <w:r w:rsidRPr="001D32A0">
        <w:rPr>
          <w:rFonts w:ascii="Cambria" w:hAnsi="Cambria"/>
          <w:b/>
          <w:bCs/>
          <w:sz w:val="22"/>
          <w:szCs w:val="22"/>
          <w:lang w:val="cs-CZ"/>
        </w:rPr>
        <w:t xml:space="preserve">: </w:t>
      </w:r>
      <w:proofErr w:type="spellStart"/>
      <w:r w:rsidRPr="001D32A0">
        <w:rPr>
          <w:rFonts w:ascii="Cambria" w:hAnsi="Cambria"/>
          <w:b/>
          <w:bCs/>
          <w:sz w:val="22"/>
          <w:szCs w:val="22"/>
          <w:lang w:val="cs-CZ"/>
        </w:rPr>
        <w:t>mixed</w:t>
      </w:r>
      <w:proofErr w:type="spellEnd"/>
      <w:r w:rsidRPr="001D32A0">
        <w:rPr>
          <w:rFonts w:ascii="Cambria" w:hAnsi="Cambria"/>
          <w:b/>
          <w:bCs/>
          <w:sz w:val="22"/>
          <w:szCs w:val="22"/>
          <w:lang w:val="cs-CZ"/>
        </w:rPr>
        <w:t xml:space="preserve"> </w:t>
      </w:r>
      <w:proofErr w:type="spellStart"/>
      <w:r w:rsidRPr="001D32A0">
        <w:rPr>
          <w:rFonts w:ascii="Cambria" w:hAnsi="Cambria"/>
          <w:b/>
          <w:bCs/>
          <w:sz w:val="22"/>
          <w:szCs w:val="22"/>
          <w:lang w:val="cs-CZ"/>
        </w:rPr>
        <w:t>auxiliation</w:t>
      </w:r>
      <w:proofErr w:type="spellEnd"/>
      <w:r w:rsidRPr="001D32A0">
        <w:rPr>
          <w:rFonts w:ascii="Cambria" w:hAnsi="Cambria"/>
          <w:b/>
          <w:bCs/>
          <w:sz w:val="22"/>
          <w:szCs w:val="22"/>
          <w:lang w:val="cs-CZ"/>
        </w:rPr>
        <w:t xml:space="preserve"> </w:t>
      </w:r>
      <w:proofErr w:type="spellStart"/>
      <w:r w:rsidRPr="001D32A0">
        <w:rPr>
          <w:rFonts w:ascii="Cambria" w:hAnsi="Cambria"/>
          <w:b/>
          <w:bCs/>
          <w:sz w:val="22"/>
          <w:szCs w:val="22"/>
          <w:lang w:val="cs-CZ"/>
        </w:rPr>
        <w:t>patterns</w:t>
      </w:r>
      <w:proofErr w:type="spellEnd"/>
      <w:r w:rsidRPr="001D32A0">
        <w:rPr>
          <w:rFonts w:ascii="Cambria" w:hAnsi="Cambria"/>
          <w:b/>
          <w:bCs/>
          <w:sz w:val="22"/>
          <w:szCs w:val="22"/>
          <w:lang w:val="cs-CZ"/>
        </w:rPr>
        <w:t xml:space="preserve"> in </w:t>
      </w:r>
      <w:proofErr w:type="spellStart"/>
      <w:r w:rsidRPr="001D32A0">
        <w:rPr>
          <w:rFonts w:ascii="Cambria" w:hAnsi="Cambria"/>
          <w:b/>
          <w:bCs/>
          <w:sz w:val="22"/>
          <w:szCs w:val="22"/>
          <w:lang w:val="cs-CZ"/>
        </w:rPr>
        <w:t>Italo</w:t>
      </w:r>
      <w:proofErr w:type="spellEnd"/>
      <w:r w:rsidRPr="001D32A0">
        <w:rPr>
          <w:rFonts w:ascii="Cambria" w:hAnsi="Cambria"/>
          <w:b/>
          <w:bCs/>
          <w:sz w:val="22"/>
          <w:szCs w:val="22"/>
          <w:lang w:val="cs-CZ"/>
        </w:rPr>
        <w:t xml:space="preserve">-Romance </w:t>
      </w:r>
      <w:proofErr w:type="spellStart"/>
      <w:r w:rsidRPr="001D32A0">
        <w:rPr>
          <w:rFonts w:ascii="Cambria" w:hAnsi="Cambria"/>
          <w:b/>
          <w:bCs/>
          <w:sz w:val="22"/>
          <w:szCs w:val="22"/>
          <w:lang w:val="cs-CZ"/>
        </w:rPr>
        <w:t>dialects</w:t>
      </w:r>
      <w:proofErr w:type="spellEnd"/>
    </w:p>
    <w:p w14:paraId="1D775114" w14:textId="77777777" w:rsidR="001D57C8" w:rsidRPr="001D32A0" w:rsidRDefault="001D57C8" w:rsidP="000C24AA">
      <w:pPr>
        <w:jc w:val="center"/>
        <w:rPr>
          <w:rFonts w:ascii="Cambria" w:hAnsi="Cambria"/>
          <w:sz w:val="22"/>
          <w:szCs w:val="22"/>
          <w:lang w:val="cs-CZ"/>
        </w:rPr>
      </w:pPr>
      <w:r w:rsidRPr="001D32A0">
        <w:rPr>
          <w:rFonts w:ascii="Cambria" w:hAnsi="Cambria"/>
          <w:sz w:val="22"/>
          <w:szCs w:val="22"/>
          <w:lang w:val="cs-CZ"/>
        </w:rPr>
        <w:t>Pavel Štichauer</w:t>
      </w:r>
      <w:r w:rsidR="00412ADD" w:rsidRPr="001D32A0">
        <w:rPr>
          <w:rFonts w:ascii="Cambria" w:hAnsi="Cambria"/>
          <w:sz w:val="22"/>
          <w:szCs w:val="22"/>
          <w:lang w:val="cs-CZ"/>
        </w:rPr>
        <w:t xml:space="preserve"> (WP1</w:t>
      </w:r>
      <w:r w:rsidR="00412ADD" w:rsidRPr="001D32A0">
        <w:rPr>
          <w:rFonts w:ascii="Cambria" w:hAnsi="Cambria" w:cs="Calibri"/>
          <w:color w:val="000000"/>
          <w:sz w:val="22"/>
          <w:szCs w:val="22"/>
        </w:rPr>
        <w:t>; Department of Romance Studies)</w:t>
      </w:r>
    </w:p>
    <w:p w14:paraId="056E3A92" w14:textId="77777777" w:rsidR="001D57C8" w:rsidRPr="001D32A0" w:rsidRDefault="001D57C8" w:rsidP="000C24AA">
      <w:pPr>
        <w:jc w:val="center"/>
        <w:rPr>
          <w:rFonts w:ascii="Cambria" w:hAnsi="Cambria"/>
          <w:sz w:val="22"/>
          <w:szCs w:val="22"/>
          <w:lang w:val="cs-CZ"/>
        </w:rPr>
      </w:pPr>
    </w:p>
    <w:p w14:paraId="70C99F65" w14:textId="77777777" w:rsidR="00670904" w:rsidRPr="00A3574E" w:rsidRDefault="001D57C8" w:rsidP="000C24AA">
      <w:pPr>
        <w:jc w:val="both"/>
        <w:rPr>
          <w:rFonts w:ascii="Cambria" w:hAnsi="Cambria"/>
          <w:sz w:val="22"/>
          <w:szCs w:val="22"/>
        </w:rPr>
      </w:pPr>
      <w:r w:rsidRPr="001D32A0">
        <w:rPr>
          <w:rFonts w:ascii="Cambria" w:hAnsi="Cambria"/>
          <w:sz w:val="22"/>
          <w:szCs w:val="22"/>
          <w:lang w:val="cs-CZ"/>
        </w:rPr>
        <w:t xml:space="preserve">In </w:t>
      </w:r>
      <w:proofErr w:type="spellStart"/>
      <w:r w:rsidRPr="001D32A0">
        <w:rPr>
          <w:rFonts w:ascii="Cambria" w:hAnsi="Cambria"/>
          <w:sz w:val="22"/>
          <w:szCs w:val="22"/>
          <w:lang w:val="cs-CZ"/>
        </w:rPr>
        <w:t>this</w:t>
      </w:r>
      <w:proofErr w:type="spellEnd"/>
      <w:r w:rsidRPr="001D32A0">
        <w:rPr>
          <w:rFonts w:ascii="Cambria" w:hAnsi="Cambria"/>
          <w:sz w:val="22"/>
          <w:szCs w:val="22"/>
          <w:lang w:val="cs-CZ"/>
        </w:rPr>
        <w:t xml:space="preserve"> talk, I </w:t>
      </w:r>
      <w:proofErr w:type="spellStart"/>
      <w:r w:rsidRPr="001D32A0">
        <w:rPr>
          <w:rFonts w:ascii="Cambria" w:hAnsi="Cambria"/>
          <w:sz w:val="22"/>
          <w:szCs w:val="22"/>
          <w:lang w:val="cs-CZ"/>
        </w:rPr>
        <w:t>discuss</w:t>
      </w:r>
      <w:proofErr w:type="spellEnd"/>
      <w:r w:rsidRPr="001D32A0">
        <w:rPr>
          <w:rFonts w:ascii="Cambria" w:hAnsi="Cambria"/>
          <w:sz w:val="22"/>
          <w:szCs w:val="22"/>
        </w:rPr>
        <w:t xml:space="preserve"> auxiliary verb constructions in Romance, in particular those that show two auxiliary verbs ‘H’ (&lt; Lat. </w:t>
      </w:r>
      <w:r w:rsidRPr="001D32A0">
        <w:rPr>
          <w:rFonts w:ascii="Cambria" w:hAnsi="Cambria"/>
          <w:smallCaps/>
          <w:sz w:val="22"/>
          <w:szCs w:val="22"/>
        </w:rPr>
        <w:t>habere</w:t>
      </w:r>
      <w:r w:rsidRPr="001D32A0">
        <w:rPr>
          <w:rFonts w:ascii="Cambria" w:hAnsi="Cambria"/>
          <w:sz w:val="22"/>
          <w:szCs w:val="22"/>
        </w:rPr>
        <w:t xml:space="preserve">) and ‘E’ (&lt; Lat. </w:t>
      </w:r>
      <w:proofErr w:type="spellStart"/>
      <w:r w:rsidRPr="001D32A0">
        <w:rPr>
          <w:rFonts w:ascii="Cambria" w:hAnsi="Cambria"/>
          <w:smallCaps/>
          <w:sz w:val="22"/>
          <w:szCs w:val="22"/>
        </w:rPr>
        <w:t>esse</w:t>
      </w:r>
      <w:proofErr w:type="spellEnd"/>
      <w:r w:rsidRPr="001D32A0">
        <w:rPr>
          <w:rFonts w:ascii="Cambria" w:hAnsi="Cambria"/>
          <w:sz w:val="22"/>
          <w:szCs w:val="22"/>
        </w:rPr>
        <w:t xml:space="preserve">) which alternate, in a wide range of Italo-Romance varieties, within one and the same paradigm. I argue that such a distribution is </w:t>
      </w:r>
      <w:r w:rsidR="00580DD1">
        <w:rPr>
          <w:rFonts w:ascii="Cambria" w:hAnsi="Cambria"/>
          <w:sz w:val="22"/>
          <w:szCs w:val="22"/>
        </w:rPr>
        <w:t>the</w:t>
      </w:r>
      <w:r w:rsidRPr="001D32A0">
        <w:rPr>
          <w:rFonts w:ascii="Cambria" w:hAnsi="Cambria"/>
          <w:sz w:val="22"/>
          <w:szCs w:val="22"/>
        </w:rPr>
        <w:t xml:space="preserve"> result of a special kind of grammaticalization, traditionally referred to as </w:t>
      </w:r>
      <w:proofErr w:type="spellStart"/>
      <w:r w:rsidRPr="001D32A0">
        <w:rPr>
          <w:rFonts w:ascii="Cambria" w:hAnsi="Cambria"/>
          <w:sz w:val="22"/>
          <w:szCs w:val="22"/>
        </w:rPr>
        <w:t>morphologization</w:t>
      </w:r>
      <w:proofErr w:type="spellEnd"/>
      <w:r w:rsidRPr="001D32A0">
        <w:rPr>
          <w:rFonts w:ascii="Cambria" w:hAnsi="Cambria"/>
          <w:sz w:val="22"/>
          <w:szCs w:val="22"/>
        </w:rPr>
        <w:t>. I adopt a morphological approach to these mixed systems, claiming that in order to explain the distribution of the two auxiliaries within the paradigm, one has to make essential reference to paradigmatic structure rather than to the intrinsic featural composition of the auxiliaries (along the lines of paradigmatic approaches reviewed in Blevins 2016). I thus show that these mixed systems, although they often represent “delicate transitional stages” (</w:t>
      </w:r>
      <w:proofErr w:type="spellStart"/>
      <w:r w:rsidRPr="001D32A0">
        <w:rPr>
          <w:rFonts w:ascii="Cambria" w:hAnsi="Cambria"/>
          <w:sz w:val="22"/>
          <w:szCs w:val="22"/>
        </w:rPr>
        <w:t>Loporcaro</w:t>
      </w:r>
      <w:proofErr w:type="spellEnd"/>
      <w:r w:rsidRPr="001D32A0">
        <w:rPr>
          <w:rFonts w:ascii="Cambria" w:hAnsi="Cambria"/>
          <w:sz w:val="22"/>
          <w:szCs w:val="22"/>
        </w:rPr>
        <w:t xml:space="preserve"> 2014: 56, n. 8) exhibit various patterns of intra-paradigmatic variation that does not seem to “make sense” from a functional point of view, i.e. the patterns of variation do not seem to be motivated outside the narrow morphological subset of compound tenses. The discussion will rely on a dataset that is currently being put together. This database is part of a larger project called ‘MIXPAR’ (for </w:t>
      </w:r>
      <w:proofErr w:type="spellStart"/>
      <w:r w:rsidRPr="001D32A0">
        <w:rPr>
          <w:rFonts w:ascii="Cambria" w:hAnsi="Cambria"/>
          <w:sz w:val="22"/>
          <w:szCs w:val="22"/>
        </w:rPr>
        <w:t>MIXed</w:t>
      </w:r>
      <w:proofErr w:type="spellEnd"/>
      <w:r w:rsidRPr="001D32A0">
        <w:rPr>
          <w:rFonts w:ascii="Cambria" w:hAnsi="Cambria"/>
          <w:sz w:val="22"/>
          <w:szCs w:val="22"/>
        </w:rPr>
        <w:t xml:space="preserve"> </w:t>
      </w:r>
      <w:proofErr w:type="spellStart"/>
      <w:r w:rsidRPr="001D32A0">
        <w:rPr>
          <w:rFonts w:ascii="Cambria" w:hAnsi="Cambria"/>
          <w:sz w:val="22"/>
          <w:szCs w:val="22"/>
        </w:rPr>
        <w:t>PARadagms</w:t>
      </w:r>
      <w:proofErr w:type="spellEnd"/>
      <w:r w:rsidRPr="001D32A0">
        <w:rPr>
          <w:rFonts w:ascii="Cambria" w:hAnsi="Cambria"/>
          <w:sz w:val="22"/>
          <w:szCs w:val="22"/>
        </w:rPr>
        <w:t>).</w:t>
      </w:r>
    </w:p>
    <w:p w14:paraId="01F4D3EA" w14:textId="77777777" w:rsidR="00670904" w:rsidRPr="00670904" w:rsidRDefault="00670904" w:rsidP="00A3574E">
      <w:pPr>
        <w:spacing w:before="240"/>
        <w:rPr>
          <w:rFonts w:ascii="Cambria" w:hAnsi="Cambria" w:cs="Calibri"/>
          <w:b/>
          <w:bCs/>
          <w:color w:val="000000"/>
          <w:sz w:val="22"/>
          <w:szCs w:val="22"/>
        </w:rPr>
      </w:pPr>
      <w:r w:rsidRPr="00670904">
        <w:rPr>
          <w:rFonts w:ascii="Cambria" w:hAnsi="Cambria" w:cs="Calibri"/>
          <w:b/>
          <w:bCs/>
          <w:color w:val="000000"/>
          <w:sz w:val="22"/>
          <w:szCs w:val="22"/>
        </w:rPr>
        <w:t>Analysis and visualization of semantic change using collocations in English and Czech</w:t>
      </w:r>
    </w:p>
    <w:p w14:paraId="287272FA" w14:textId="77777777" w:rsidR="00670904" w:rsidRPr="00670904" w:rsidRDefault="00670904" w:rsidP="000C24AA">
      <w:pPr>
        <w:jc w:val="center"/>
        <w:rPr>
          <w:rFonts w:ascii="Cambria" w:hAnsi="Cambria" w:cs="Calibri"/>
          <w:color w:val="000000"/>
          <w:sz w:val="22"/>
          <w:szCs w:val="22"/>
        </w:rPr>
      </w:pPr>
      <w:r w:rsidRPr="00670904">
        <w:rPr>
          <w:rFonts w:ascii="Cambria" w:hAnsi="Cambria" w:cs="Calibri"/>
          <w:color w:val="000000"/>
          <w:sz w:val="22"/>
          <w:szCs w:val="22"/>
        </w:rPr>
        <w:t> </w:t>
      </w:r>
      <w:r w:rsidRPr="00670904">
        <w:rPr>
          <w:rFonts w:ascii="Cambria" w:hAnsi="Cambria"/>
          <w:bCs/>
          <w:noProof/>
          <w:sz w:val="22"/>
          <w:szCs w:val="22"/>
        </w:rPr>
        <w:t>Ondřej Tichý (WP1</w:t>
      </w:r>
      <w:r w:rsidRPr="00670904">
        <w:rPr>
          <w:rFonts w:ascii="Cambria" w:hAnsi="Cambria" w:cs="Calibri"/>
          <w:color w:val="000000"/>
          <w:sz w:val="22"/>
          <w:szCs w:val="22"/>
        </w:rPr>
        <w:t xml:space="preserve">; Department of English Language </w:t>
      </w:r>
      <w:proofErr w:type="spellStart"/>
      <w:r w:rsidRPr="00670904">
        <w:rPr>
          <w:rFonts w:ascii="Cambria" w:hAnsi="Cambria" w:cs="Calibri"/>
          <w:color w:val="000000"/>
          <w:sz w:val="22"/>
          <w:szCs w:val="22"/>
        </w:rPr>
        <w:t>nad</w:t>
      </w:r>
      <w:proofErr w:type="spellEnd"/>
      <w:r w:rsidRPr="00670904">
        <w:rPr>
          <w:rFonts w:ascii="Cambria" w:hAnsi="Cambria" w:cs="Calibri"/>
          <w:color w:val="000000"/>
          <w:sz w:val="22"/>
          <w:szCs w:val="22"/>
        </w:rPr>
        <w:t xml:space="preserve"> LTE Methodology)</w:t>
      </w:r>
    </w:p>
    <w:p w14:paraId="49B1B8CA" w14:textId="77777777" w:rsidR="00670904" w:rsidRPr="00670904" w:rsidRDefault="00670904" w:rsidP="000C24AA">
      <w:pPr>
        <w:jc w:val="center"/>
        <w:rPr>
          <w:rFonts w:ascii="Cambria" w:hAnsi="Cambria" w:cs="Calibri"/>
          <w:color w:val="000000"/>
          <w:sz w:val="22"/>
          <w:szCs w:val="22"/>
        </w:rPr>
      </w:pPr>
      <w:r w:rsidRPr="00670904">
        <w:rPr>
          <w:rFonts w:ascii="Cambria" w:hAnsi="Cambria" w:cs="Calibri"/>
          <w:color w:val="000000"/>
          <w:sz w:val="22"/>
          <w:szCs w:val="22"/>
        </w:rPr>
        <w:t>Václav Cvrček (WP1; Institute of the Czech National Corpus)</w:t>
      </w:r>
    </w:p>
    <w:p w14:paraId="420AF14D" w14:textId="77777777" w:rsidR="00670904" w:rsidRPr="00670904" w:rsidRDefault="00670904" w:rsidP="000C24AA">
      <w:pPr>
        <w:rPr>
          <w:rFonts w:ascii="Cambria" w:hAnsi="Cambria" w:cs="Calibri"/>
          <w:color w:val="000000"/>
          <w:sz w:val="22"/>
          <w:szCs w:val="22"/>
        </w:rPr>
      </w:pPr>
    </w:p>
    <w:p w14:paraId="38D80199" w14:textId="77777777" w:rsidR="00A3574E" w:rsidRPr="00A3574E" w:rsidRDefault="00670904" w:rsidP="000C24AA">
      <w:pPr>
        <w:jc w:val="both"/>
        <w:rPr>
          <w:rFonts w:ascii="Cambria" w:hAnsi="Cambria" w:cs="Calibri"/>
          <w:color w:val="000000"/>
          <w:sz w:val="22"/>
          <w:szCs w:val="22"/>
        </w:rPr>
      </w:pPr>
      <w:r w:rsidRPr="00670904">
        <w:rPr>
          <w:rFonts w:ascii="Cambria" w:hAnsi="Cambria" w:cs="Calibri"/>
          <w:color w:val="000000"/>
          <w:sz w:val="22"/>
          <w:szCs w:val="22"/>
        </w:rPr>
        <w:t>In this paper, we explore semantic change in words or phrases as evidenced by changes to their collocational patterns in Czech and English. We develop innovative statistical methodology to detect and analyze semantically meaningful changes to collocational patterns (i.e. changes that are more substantial than regular synchronic variation). To make the methodology widely available, we also introduce an alpha version of interactive tools to query, analyze and visualize the changes in diachronic corpora hosted by the Czech National Corpus infrastructure.</w:t>
      </w:r>
    </w:p>
    <w:p w14:paraId="51C21044" w14:textId="77777777" w:rsidR="00D715C7" w:rsidRPr="00D715C7" w:rsidRDefault="00D715C7" w:rsidP="00A3574E">
      <w:pPr>
        <w:spacing w:before="240"/>
        <w:jc w:val="center"/>
        <w:rPr>
          <w:rFonts w:ascii="Cambria" w:hAnsi="Cambria"/>
          <w:b/>
          <w:bCs/>
          <w:sz w:val="22"/>
          <w:szCs w:val="22"/>
        </w:rPr>
      </w:pPr>
      <w:r w:rsidRPr="00D715C7">
        <w:rPr>
          <w:rFonts w:ascii="Cambria" w:hAnsi="Cambria"/>
          <w:b/>
          <w:bCs/>
          <w:sz w:val="22"/>
          <w:szCs w:val="22"/>
        </w:rPr>
        <w:t>Architectural practice as a form of technocratic governance in postwar Czechoslovakia</w:t>
      </w:r>
    </w:p>
    <w:p w14:paraId="1CF6D7B3" w14:textId="77777777" w:rsidR="00D715C7" w:rsidRPr="00D715C7" w:rsidRDefault="00D715C7" w:rsidP="000C24AA">
      <w:pPr>
        <w:jc w:val="center"/>
        <w:rPr>
          <w:rFonts w:ascii="Cambria" w:hAnsi="Cambria"/>
          <w:sz w:val="22"/>
          <w:szCs w:val="22"/>
        </w:rPr>
      </w:pPr>
      <w:r w:rsidRPr="00D715C7">
        <w:rPr>
          <w:rFonts w:ascii="Cambria" w:hAnsi="Cambria"/>
          <w:sz w:val="22"/>
          <w:szCs w:val="22"/>
        </w:rPr>
        <w:t xml:space="preserve">Kimberly E. </w:t>
      </w:r>
      <w:proofErr w:type="spellStart"/>
      <w:r w:rsidRPr="00D715C7">
        <w:rPr>
          <w:rFonts w:ascii="Cambria" w:hAnsi="Cambria"/>
          <w:sz w:val="22"/>
          <w:szCs w:val="22"/>
        </w:rPr>
        <w:t>Zarecor</w:t>
      </w:r>
      <w:proofErr w:type="spellEnd"/>
      <w:r w:rsidRPr="00D715C7">
        <w:rPr>
          <w:rFonts w:ascii="Cambria" w:hAnsi="Cambria"/>
          <w:sz w:val="22"/>
          <w:szCs w:val="22"/>
        </w:rPr>
        <w:t>, Iowa State University</w:t>
      </w:r>
    </w:p>
    <w:p w14:paraId="44BD9D15" w14:textId="77777777" w:rsidR="00D715C7" w:rsidRPr="00D715C7" w:rsidRDefault="00D715C7" w:rsidP="000C24AA">
      <w:pPr>
        <w:rPr>
          <w:rFonts w:ascii="Cambria" w:hAnsi="Cambria"/>
          <w:sz w:val="22"/>
          <w:szCs w:val="22"/>
        </w:rPr>
      </w:pPr>
    </w:p>
    <w:p w14:paraId="39400B2B" w14:textId="77777777" w:rsidR="00D715C7" w:rsidRPr="00A3574E" w:rsidRDefault="00D715C7" w:rsidP="00A3574E">
      <w:pPr>
        <w:rPr>
          <w:rFonts w:ascii="Cambria" w:hAnsi="Cambria"/>
          <w:sz w:val="22"/>
          <w:szCs w:val="22"/>
        </w:rPr>
      </w:pPr>
      <w:r w:rsidRPr="00D715C7">
        <w:rPr>
          <w:rFonts w:ascii="Cambria" w:hAnsi="Cambria"/>
          <w:sz w:val="22"/>
          <w:szCs w:val="22"/>
        </w:rPr>
        <w:t>Many architects returned to practice after World War II with new energy and optimism as long-sought changes to their work lives were suddenly possible with the emergence of a strong Communist Party. Even before 1948, professional organizations supported state salaries for architects, collective work, and a scientific approach to the building industry. The goal was to transform architecture from an individual artistic pursuit to a materialist practice based on quantitative research and expert knowledge. After 1948, architectural practice moved from private firms into state-run design institutes where architects and building engineers had the opportunity to reimagine the future built environment based on high-modernist design principles. Within these institutes, a technocratic approach to the management and deployment of building systems dominated, even when Socialist Realism became a mandated decorative style in the early 1950s. This paper will look at the origins of this technocratic approach in the interwar avant-garde and trace its influence into the 1970s.</w:t>
      </w:r>
    </w:p>
    <w:sectPr w:rsidR="00D715C7" w:rsidRPr="00A3574E" w:rsidSect="00A3574E">
      <w:headerReference w:type="default" r:id="rId10"/>
      <w:footerReference w:type="even" r:id="rId11"/>
      <w:footerReference w:type="default" r:id="rId12"/>
      <w:pgSz w:w="12240" w:h="15840"/>
      <w:pgMar w:top="485"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2141" w14:textId="77777777" w:rsidR="00874467" w:rsidRDefault="00874467" w:rsidP="00AE3E6A">
      <w:r>
        <w:separator/>
      </w:r>
    </w:p>
  </w:endnote>
  <w:endnote w:type="continuationSeparator" w:id="0">
    <w:p w14:paraId="5C07B261" w14:textId="77777777" w:rsidR="00874467" w:rsidRDefault="00874467" w:rsidP="00AE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2F5" w14:textId="77777777" w:rsidR="00AE3E6A" w:rsidRDefault="00AE3E6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p w14:paraId="73A3A603" w14:textId="77777777" w:rsidR="00AE3E6A" w:rsidRDefault="00AE3E6A" w:rsidP="00AE3E6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BADD" w14:textId="77777777" w:rsidR="00AE3E6A" w:rsidRDefault="00AE3E6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0D818974" w14:textId="77777777" w:rsidR="00AE3E6A" w:rsidRDefault="00AE3E6A" w:rsidP="00AE3E6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B547" w14:textId="77777777" w:rsidR="00874467" w:rsidRDefault="00874467" w:rsidP="00AE3E6A">
      <w:r>
        <w:separator/>
      </w:r>
    </w:p>
  </w:footnote>
  <w:footnote w:type="continuationSeparator" w:id="0">
    <w:p w14:paraId="5C4369D5" w14:textId="77777777" w:rsidR="00874467" w:rsidRDefault="00874467" w:rsidP="00AE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3046" w14:textId="77777777" w:rsidR="00D63266" w:rsidRDefault="00C356F7" w:rsidP="00A3574E">
    <w:pPr>
      <w:pStyle w:val="Zhlav"/>
      <w:jc w:val="center"/>
    </w:pPr>
    <w:r>
      <w:rPr>
        <w:noProof/>
      </w:rPr>
      <w:pict w14:anchorId="084F1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 letter&#10;&#10;Description automatically generated" style="width:262.8pt;height:58.8pt">
          <v:imagedata r:id="rId1" o:title=""/>
        </v:shape>
      </w:pict>
    </w:r>
  </w:p>
  <w:p w14:paraId="486DE41E" w14:textId="77777777" w:rsidR="00D63266" w:rsidRDefault="00D632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54"/>
    <w:multiLevelType w:val="hybridMultilevel"/>
    <w:tmpl w:val="E0EEA7D6"/>
    <w:lvl w:ilvl="0" w:tplc="000504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5667B"/>
    <w:multiLevelType w:val="multilevel"/>
    <w:tmpl w:val="837CC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504B04"/>
    <w:multiLevelType w:val="hybridMultilevel"/>
    <w:tmpl w:val="298C2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67A70"/>
    <w:multiLevelType w:val="hybridMultilevel"/>
    <w:tmpl w:val="BE30E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A4C5A"/>
    <w:multiLevelType w:val="hybridMultilevel"/>
    <w:tmpl w:val="10F8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34514"/>
    <w:multiLevelType w:val="hybridMultilevel"/>
    <w:tmpl w:val="8E20DE10"/>
    <w:lvl w:ilvl="0" w:tplc="00050409">
      <w:start w:val="1"/>
      <w:numFmt w:val="bullet"/>
      <w:lvlText w:val=""/>
      <w:lvlJc w:val="left"/>
      <w:pPr>
        <w:tabs>
          <w:tab w:val="num" w:pos="360"/>
        </w:tabs>
        <w:ind w:left="360" w:hanging="360"/>
      </w:pPr>
      <w:rPr>
        <w:rFonts w:ascii="Wingdings" w:hAnsi="Wingding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495A4C17"/>
    <w:multiLevelType w:val="hybridMultilevel"/>
    <w:tmpl w:val="9C5C0CF6"/>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440D5"/>
    <w:multiLevelType w:val="hybridMultilevel"/>
    <w:tmpl w:val="F9420A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02671"/>
    <w:multiLevelType w:val="multilevel"/>
    <w:tmpl w:val="D8026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D17E71"/>
    <w:multiLevelType w:val="multilevel"/>
    <w:tmpl w:val="3614F20A"/>
    <w:styleLink w:val="Handou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94AF1"/>
    <w:multiLevelType w:val="hybridMultilevel"/>
    <w:tmpl w:val="837CC6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6FC3840"/>
    <w:multiLevelType w:val="hybridMultilevel"/>
    <w:tmpl w:val="63F40166"/>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44F83"/>
    <w:multiLevelType w:val="hybridMultilevel"/>
    <w:tmpl w:val="2838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55E5C"/>
    <w:multiLevelType w:val="hybridMultilevel"/>
    <w:tmpl w:val="71DA3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B091C"/>
    <w:multiLevelType w:val="hybridMultilevel"/>
    <w:tmpl w:val="338E3CAE"/>
    <w:lvl w:ilvl="0" w:tplc="0409000F">
      <w:start w:val="1"/>
      <w:numFmt w:val="decimal"/>
      <w:lvlText w:val="%1."/>
      <w:lvlJc w:val="left"/>
      <w:pPr>
        <w:ind w:left="12" w:hanging="360"/>
      </w:p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16cid:durableId="509107110">
    <w:abstractNumId w:val="9"/>
  </w:num>
  <w:num w:numId="2" w16cid:durableId="1075124722">
    <w:abstractNumId w:val="9"/>
  </w:num>
  <w:num w:numId="3" w16cid:durableId="449016119">
    <w:abstractNumId w:val="10"/>
  </w:num>
  <w:num w:numId="4" w16cid:durableId="660348719">
    <w:abstractNumId w:val="1"/>
  </w:num>
  <w:num w:numId="5" w16cid:durableId="89400508">
    <w:abstractNumId w:val="5"/>
  </w:num>
  <w:num w:numId="6" w16cid:durableId="18635181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261185">
    <w:abstractNumId w:val="11"/>
  </w:num>
  <w:num w:numId="8" w16cid:durableId="71045307">
    <w:abstractNumId w:val="6"/>
  </w:num>
  <w:num w:numId="9" w16cid:durableId="2044477327">
    <w:abstractNumId w:val="0"/>
  </w:num>
  <w:num w:numId="10" w16cid:durableId="83185103">
    <w:abstractNumId w:val="14"/>
  </w:num>
  <w:num w:numId="11" w16cid:durableId="1311596434">
    <w:abstractNumId w:val="12"/>
  </w:num>
  <w:num w:numId="12" w16cid:durableId="747339141">
    <w:abstractNumId w:val="13"/>
  </w:num>
  <w:num w:numId="13" w16cid:durableId="493766198">
    <w:abstractNumId w:val="3"/>
  </w:num>
  <w:num w:numId="14" w16cid:durableId="1366713187">
    <w:abstractNumId w:val="4"/>
  </w:num>
  <w:num w:numId="15" w16cid:durableId="292373692">
    <w:abstractNumId w:val="2"/>
  </w:num>
  <w:num w:numId="16" w16cid:durableId="696082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tTA1N7E0MTQwNjRX0lEKTi0uzszPAykwrAUA+ZwoTiwAAAA="/>
  </w:docVars>
  <w:rsids>
    <w:rsidRoot w:val="004613B1"/>
    <w:rsid w:val="00011A2A"/>
    <w:rsid w:val="00013D73"/>
    <w:rsid w:val="00022CA0"/>
    <w:rsid w:val="000244BF"/>
    <w:rsid w:val="00042D14"/>
    <w:rsid w:val="00087768"/>
    <w:rsid w:val="0009129B"/>
    <w:rsid w:val="00092E6D"/>
    <w:rsid w:val="00094F0F"/>
    <w:rsid w:val="0009585E"/>
    <w:rsid w:val="00096C4C"/>
    <w:rsid w:val="000A50FB"/>
    <w:rsid w:val="000A5CCC"/>
    <w:rsid w:val="000A6088"/>
    <w:rsid w:val="000B7AF4"/>
    <w:rsid w:val="000C24AA"/>
    <w:rsid w:val="000E6448"/>
    <w:rsid w:val="000F4E37"/>
    <w:rsid w:val="001227F0"/>
    <w:rsid w:val="001462EB"/>
    <w:rsid w:val="0015243F"/>
    <w:rsid w:val="00153C2F"/>
    <w:rsid w:val="00156230"/>
    <w:rsid w:val="00191860"/>
    <w:rsid w:val="00194357"/>
    <w:rsid w:val="001A2E4D"/>
    <w:rsid w:val="001D32A0"/>
    <w:rsid w:val="001D57C8"/>
    <w:rsid w:val="001D75B2"/>
    <w:rsid w:val="001E68D2"/>
    <w:rsid w:val="00205357"/>
    <w:rsid w:val="0023436E"/>
    <w:rsid w:val="00235A29"/>
    <w:rsid w:val="00244048"/>
    <w:rsid w:val="00273431"/>
    <w:rsid w:val="00295322"/>
    <w:rsid w:val="002A0B77"/>
    <w:rsid w:val="002A6EE4"/>
    <w:rsid w:val="002A73AF"/>
    <w:rsid w:val="002C5333"/>
    <w:rsid w:val="002E21C6"/>
    <w:rsid w:val="002F45B3"/>
    <w:rsid w:val="003103A7"/>
    <w:rsid w:val="00322CE1"/>
    <w:rsid w:val="00323F58"/>
    <w:rsid w:val="00333835"/>
    <w:rsid w:val="0033387D"/>
    <w:rsid w:val="0037198F"/>
    <w:rsid w:val="003A7655"/>
    <w:rsid w:val="003C19EF"/>
    <w:rsid w:val="003F5E7F"/>
    <w:rsid w:val="004108E9"/>
    <w:rsid w:val="00412ADD"/>
    <w:rsid w:val="00421BBB"/>
    <w:rsid w:val="00430E83"/>
    <w:rsid w:val="00445338"/>
    <w:rsid w:val="0045627E"/>
    <w:rsid w:val="0047274C"/>
    <w:rsid w:val="0048337D"/>
    <w:rsid w:val="004840B6"/>
    <w:rsid w:val="00485AEF"/>
    <w:rsid w:val="00487F7F"/>
    <w:rsid w:val="004959A8"/>
    <w:rsid w:val="004A601C"/>
    <w:rsid w:val="004B6AA0"/>
    <w:rsid w:val="004B7096"/>
    <w:rsid w:val="004B7EE1"/>
    <w:rsid w:val="004D5359"/>
    <w:rsid w:val="004D7136"/>
    <w:rsid w:val="004E5054"/>
    <w:rsid w:val="0050447C"/>
    <w:rsid w:val="00506160"/>
    <w:rsid w:val="005122F8"/>
    <w:rsid w:val="00543ECD"/>
    <w:rsid w:val="0054648A"/>
    <w:rsid w:val="0055689C"/>
    <w:rsid w:val="005661AD"/>
    <w:rsid w:val="00580DD1"/>
    <w:rsid w:val="00581C77"/>
    <w:rsid w:val="00587CF8"/>
    <w:rsid w:val="00592522"/>
    <w:rsid w:val="005A3F39"/>
    <w:rsid w:val="005D312A"/>
    <w:rsid w:val="005F0C1F"/>
    <w:rsid w:val="00601096"/>
    <w:rsid w:val="00603BED"/>
    <w:rsid w:val="00606681"/>
    <w:rsid w:val="006139C9"/>
    <w:rsid w:val="00647E6F"/>
    <w:rsid w:val="006542D6"/>
    <w:rsid w:val="00656B60"/>
    <w:rsid w:val="0067007E"/>
    <w:rsid w:val="00670904"/>
    <w:rsid w:val="006768C7"/>
    <w:rsid w:val="00697A12"/>
    <w:rsid w:val="006B5164"/>
    <w:rsid w:val="006B62B8"/>
    <w:rsid w:val="006C0EFB"/>
    <w:rsid w:val="006E4712"/>
    <w:rsid w:val="006F1CE2"/>
    <w:rsid w:val="006F4553"/>
    <w:rsid w:val="00703A97"/>
    <w:rsid w:val="0071583D"/>
    <w:rsid w:val="0072603D"/>
    <w:rsid w:val="007313A0"/>
    <w:rsid w:val="00743880"/>
    <w:rsid w:val="0075171A"/>
    <w:rsid w:val="007609B4"/>
    <w:rsid w:val="00787BB2"/>
    <w:rsid w:val="007A2990"/>
    <w:rsid w:val="007A6A9C"/>
    <w:rsid w:val="007C4FE4"/>
    <w:rsid w:val="007F305C"/>
    <w:rsid w:val="007F62A8"/>
    <w:rsid w:val="008030FD"/>
    <w:rsid w:val="008038EF"/>
    <w:rsid w:val="00822B05"/>
    <w:rsid w:val="00823DD5"/>
    <w:rsid w:val="00843DC9"/>
    <w:rsid w:val="00855B85"/>
    <w:rsid w:val="00856F76"/>
    <w:rsid w:val="00874467"/>
    <w:rsid w:val="0087748C"/>
    <w:rsid w:val="008973F6"/>
    <w:rsid w:val="008E1F06"/>
    <w:rsid w:val="008F3A1B"/>
    <w:rsid w:val="00903BD4"/>
    <w:rsid w:val="00904A7F"/>
    <w:rsid w:val="00911489"/>
    <w:rsid w:val="00912E59"/>
    <w:rsid w:val="009179CA"/>
    <w:rsid w:val="0093776A"/>
    <w:rsid w:val="00946C1B"/>
    <w:rsid w:val="009565FE"/>
    <w:rsid w:val="00972CAB"/>
    <w:rsid w:val="009730CC"/>
    <w:rsid w:val="00973771"/>
    <w:rsid w:val="00976803"/>
    <w:rsid w:val="009A1080"/>
    <w:rsid w:val="009A3A9A"/>
    <w:rsid w:val="009A3E13"/>
    <w:rsid w:val="009B366D"/>
    <w:rsid w:val="009B51DE"/>
    <w:rsid w:val="009C2799"/>
    <w:rsid w:val="009D6E63"/>
    <w:rsid w:val="00A0218B"/>
    <w:rsid w:val="00A1175E"/>
    <w:rsid w:val="00A11806"/>
    <w:rsid w:val="00A119AA"/>
    <w:rsid w:val="00A164A4"/>
    <w:rsid w:val="00A16595"/>
    <w:rsid w:val="00A3574E"/>
    <w:rsid w:val="00A36803"/>
    <w:rsid w:val="00A44A89"/>
    <w:rsid w:val="00A45F14"/>
    <w:rsid w:val="00A45FBC"/>
    <w:rsid w:val="00A5431E"/>
    <w:rsid w:val="00A70498"/>
    <w:rsid w:val="00AA145C"/>
    <w:rsid w:val="00AA23CF"/>
    <w:rsid w:val="00AA5A56"/>
    <w:rsid w:val="00AA6930"/>
    <w:rsid w:val="00AA7AD4"/>
    <w:rsid w:val="00AB13F7"/>
    <w:rsid w:val="00AB7182"/>
    <w:rsid w:val="00AB7323"/>
    <w:rsid w:val="00AE3E6A"/>
    <w:rsid w:val="00AE77DB"/>
    <w:rsid w:val="00B01787"/>
    <w:rsid w:val="00B33D21"/>
    <w:rsid w:val="00B433F5"/>
    <w:rsid w:val="00B45622"/>
    <w:rsid w:val="00B5183B"/>
    <w:rsid w:val="00B54A35"/>
    <w:rsid w:val="00B56A81"/>
    <w:rsid w:val="00B66387"/>
    <w:rsid w:val="00B940DD"/>
    <w:rsid w:val="00BA53E3"/>
    <w:rsid w:val="00BB3941"/>
    <w:rsid w:val="00BC36D1"/>
    <w:rsid w:val="00BD48D0"/>
    <w:rsid w:val="00C1299C"/>
    <w:rsid w:val="00C356F7"/>
    <w:rsid w:val="00C6136E"/>
    <w:rsid w:val="00C77BA1"/>
    <w:rsid w:val="00CD420E"/>
    <w:rsid w:val="00CF3AB9"/>
    <w:rsid w:val="00CF6F7E"/>
    <w:rsid w:val="00D03C26"/>
    <w:rsid w:val="00D111F1"/>
    <w:rsid w:val="00D22057"/>
    <w:rsid w:val="00D220C0"/>
    <w:rsid w:val="00D40E94"/>
    <w:rsid w:val="00D43222"/>
    <w:rsid w:val="00D512E6"/>
    <w:rsid w:val="00D629CD"/>
    <w:rsid w:val="00D63266"/>
    <w:rsid w:val="00D715C7"/>
    <w:rsid w:val="00D732C7"/>
    <w:rsid w:val="00D83CB2"/>
    <w:rsid w:val="00D9784C"/>
    <w:rsid w:val="00DA2969"/>
    <w:rsid w:val="00DB2245"/>
    <w:rsid w:val="00DD50A4"/>
    <w:rsid w:val="00DF74D9"/>
    <w:rsid w:val="00E1209B"/>
    <w:rsid w:val="00E133D1"/>
    <w:rsid w:val="00E272FD"/>
    <w:rsid w:val="00E3233E"/>
    <w:rsid w:val="00E34CC9"/>
    <w:rsid w:val="00E457BD"/>
    <w:rsid w:val="00E53B40"/>
    <w:rsid w:val="00E671B1"/>
    <w:rsid w:val="00E9130E"/>
    <w:rsid w:val="00E920DD"/>
    <w:rsid w:val="00EA28BD"/>
    <w:rsid w:val="00EC14F5"/>
    <w:rsid w:val="00F1073D"/>
    <w:rsid w:val="00F11822"/>
    <w:rsid w:val="00F1361E"/>
    <w:rsid w:val="00F3126A"/>
    <w:rsid w:val="00F54852"/>
    <w:rsid w:val="00F70690"/>
    <w:rsid w:val="00FA31F3"/>
    <w:rsid w:val="00FB0E8C"/>
    <w:rsid w:val="00FC340D"/>
    <w:rsid w:val="00FD3027"/>
    <w:rsid w:val="00FF53F5"/>
    <w:rsid w:val="00FF75F7"/>
  </w:rsids>
  <m:mathPr>
    <m:mathFont m:val="Cambria Math"/>
    <m:brkBin m:val="before"/>
    <m:brkBinSub m:val="--"/>
    <m:smallFrac m:val="0"/>
    <m:dispDef m:val="0"/>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DFFA78"/>
  <w15:chartTrackingRefBased/>
  <w15:docId w15:val="{3DFB406B-E4C0-45E9-9739-5BE8207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73F6"/>
    <w:rPr>
      <w:sz w:val="24"/>
      <w:szCs w:val="24"/>
      <w:lang w:val="en-US"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numbering" w:customStyle="1" w:styleId="Handout">
    <w:name w:val="Handout"/>
    <w:rsid w:val="001B5E87"/>
    <w:pPr>
      <w:numPr>
        <w:numId w:val="2"/>
      </w:numPr>
    </w:pPr>
  </w:style>
  <w:style w:type="paragraph" w:styleId="Textpoznpodarou">
    <w:name w:val="footnote text"/>
    <w:basedOn w:val="Normln"/>
    <w:link w:val="TextpoznpodarouChar"/>
    <w:rsid w:val="00FC39BA"/>
  </w:style>
  <w:style w:type="character" w:customStyle="1" w:styleId="TextpoznpodarouChar">
    <w:name w:val="Text pozn. pod čarou Char"/>
    <w:link w:val="Textpoznpodarou"/>
    <w:rsid w:val="00FC39BA"/>
    <w:rPr>
      <w:sz w:val="24"/>
      <w:szCs w:val="24"/>
      <w:lang w:val="en-GB"/>
    </w:rPr>
  </w:style>
  <w:style w:type="character" w:styleId="Znakapoznpodarou">
    <w:name w:val="footnote reference"/>
    <w:unhideWhenUsed/>
    <w:rsid w:val="00FC39BA"/>
    <w:rPr>
      <w:vertAlign w:val="superscript"/>
    </w:rPr>
  </w:style>
  <w:style w:type="character" w:styleId="Hypertextovodkaz">
    <w:name w:val="Hyperlink"/>
    <w:rsid w:val="001462EB"/>
    <w:rPr>
      <w:color w:val="0563C1"/>
      <w:u w:val="single"/>
    </w:rPr>
  </w:style>
  <w:style w:type="character" w:styleId="Nevyeenzmnka">
    <w:name w:val="Unresolved Mention"/>
    <w:uiPriority w:val="99"/>
    <w:semiHidden/>
    <w:unhideWhenUsed/>
    <w:rsid w:val="001462EB"/>
    <w:rPr>
      <w:color w:val="605E5C"/>
      <w:shd w:val="clear" w:color="auto" w:fill="E1DFDD"/>
    </w:rPr>
  </w:style>
  <w:style w:type="character" w:styleId="Sledovanodkaz">
    <w:name w:val="FollowedHyperlink"/>
    <w:rsid w:val="008E1F06"/>
    <w:rPr>
      <w:color w:val="954F72"/>
      <w:u w:val="single"/>
    </w:rPr>
  </w:style>
  <w:style w:type="paragraph" w:styleId="Zpat">
    <w:name w:val="footer"/>
    <w:basedOn w:val="Normln"/>
    <w:link w:val="ZpatChar"/>
    <w:rsid w:val="00AE3E6A"/>
    <w:pPr>
      <w:tabs>
        <w:tab w:val="center" w:pos="4680"/>
        <w:tab w:val="right" w:pos="9360"/>
      </w:tabs>
    </w:pPr>
  </w:style>
  <w:style w:type="character" w:customStyle="1" w:styleId="ZpatChar">
    <w:name w:val="Zápatí Char"/>
    <w:link w:val="Zpat"/>
    <w:rsid w:val="00AE3E6A"/>
    <w:rPr>
      <w:sz w:val="24"/>
      <w:szCs w:val="24"/>
      <w:lang w:val="en-GB"/>
    </w:rPr>
  </w:style>
  <w:style w:type="character" w:styleId="slostrnky">
    <w:name w:val="page number"/>
    <w:basedOn w:val="Standardnpsmoodstavce"/>
    <w:rsid w:val="00AE3E6A"/>
  </w:style>
  <w:style w:type="character" w:customStyle="1" w:styleId="apple-converted-space">
    <w:name w:val="apple-converted-space"/>
    <w:basedOn w:val="Standardnpsmoodstavce"/>
    <w:rsid w:val="00412ADD"/>
  </w:style>
  <w:style w:type="table" w:styleId="Mkatabulky">
    <w:name w:val="Table Grid"/>
    <w:basedOn w:val="Normlntabulka"/>
    <w:uiPriority w:val="39"/>
    <w:rsid w:val="00A368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36803"/>
    <w:pPr>
      <w:spacing w:before="100" w:beforeAutospacing="1" w:after="100" w:afterAutospacing="1"/>
    </w:pPr>
    <w:rPr>
      <w:lang w:val="cs-CZ" w:eastAsia="cs-CZ"/>
    </w:rPr>
  </w:style>
  <w:style w:type="character" w:customStyle="1" w:styleId="contentpasted0">
    <w:name w:val="contentpasted0"/>
    <w:basedOn w:val="Standardnpsmoodstavce"/>
    <w:rsid w:val="00B33D21"/>
  </w:style>
  <w:style w:type="paragraph" w:customStyle="1" w:styleId="elementtoproof">
    <w:name w:val="elementtoproof"/>
    <w:basedOn w:val="Normln"/>
    <w:rsid w:val="00B33D21"/>
    <w:pPr>
      <w:spacing w:before="100" w:beforeAutospacing="1" w:after="100" w:afterAutospacing="1"/>
    </w:pPr>
  </w:style>
  <w:style w:type="character" w:styleId="Siln">
    <w:name w:val="Strong"/>
    <w:uiPriority w:val="22"/>
    <w:qFormat/>
    <w:rsid w:val="00581C77"/>
    <w:rPr>
      <w:b/>
      <w:bCs/>
    </w:rPr>
  </w:style>
  <w:style w:type="character" w:customStyle="1" w:styleId="markve3gcbrbe">
    <w:name w:val="markve3gcbrbe"/>
    <w:basedOn w:val="Standardnpsmoodstavce"/>
    <w:rsid w:val="009179CA"/>
  </w:style>
  <w:style w:type="paragraph" w:styleId="Zhlav">
    <w:name w:val="header"/>
    <w:basedOn w:val="Normln"/>
    <w:link w:val="ZhlavChar"/>
    <w:uiPriority w:val="99"/>
    <w:rsid w:val="00D63266"/>
    <w:pPr>
      <w:tabs>
        <w:tab w:val="center" w:pos="4536"/>
        <w:tab w:val="right" w:pos="9072"/>
      </w:tabs>
    </w:pPr>
  </w:style>
  <w:style w:type="character" w:customStyle="1" w:styleId="ZhlavChar">
    <w:name w:val="Záhlaví Char"/>
    <w:link w:val="Zhlav"/>
    <w:uiPriority w:val="99"/>
    <w:rsid w:val="00D632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29">
      <w:bodyDiv w:val="1"/>
      <w:marLeft w:val="0"/>
      <w:marRight w:val="0"/>
      <w:marTop w:val="0"/>
      <w:marBottom w:val="0"/>
      <w:divBdr>
        <w:top w:val="none" w:sz="0" w:space="0" w:color="auto"/>
        <w:left w:val="none" w:sz="0" w:space="0" w:color="auto"/>
        <w:bottom w:val="none" w:sz="0" w:space="0" w:color="auto"/>
        <w:right w:val="none" w:sz="0" w:space="0" w:color="auto"/>
      </w:divBdr>
      <w:divsChild>
        <w:div w:id="277179563">
          <w:marLeft w:val="965"/>
          <w:marRight w:val="0"/>
          <w:marTop w:val="173"/>
          <w:marBottom w:val="0"/>
          <w:divBdr>
            <w:top w:val="none" w:sz="0" w:space="0" w:color="auto"/>
            <w:left w:val="none" w:sz="0" w:space="0" w:color="auto"/>
            <w:bottom w:val="none" w:sz="0" w:space="0" w:color="auto"/>
            <w:right w:val="none" w:sz="0" w:space="0" w:color="auto"/>
          </w:divBdr>
        </w:div>
        <w:div w:id="392045854">
          <w:marLeft w:val="965"/>
          <w:marRight w:val="0"/>
          <w:marTop w:val="173"/>
          <w:marBottom w:val="0"/>
          <w:divBdr>
            <w:top w:val="none" w:sz="0" w:space="0" w:color="auto"/>
            <w:left w:val="none" w:sz="0" w:space="0" w:color="auto"/>
            <w:bottom w:val="none" w:sz="0" w:space="0" w:color="auto"/>
            <w:right w:val="none" w:sz="0" w:space="0" w:color="auto"/>
          </w:divBdr>
        </w:div>
        <w:div w:id="569384046">
          <w:marLeft w:val="965"/>
          <w:marRight w:val="0"/>
          <w:marTop w:val="173"/>
          <w:marBottom w:val="0"/>
          <w:divBdr>
            <w:top w:val="none" w:sz="0" w:space="0" w:color="auto"/>
            <w:left w:val="none" w:sz="0" w:space="0" w:color="auto"/>
            <w:bottom w:val="none" w:sz="0" w:space="0" w:color="auto"/>
            <w:right w:val="none" w:sz="0" w:space="0" w:color="auto"/>
          </w:divBdr>
        </w:div>
        <w:div w:id="1659922700">
          <w:marLeft w:val="965"/>
          <w:marRight w:val="0"/>
          <w:marTop w:val="173"/>
          <w:marBottom w:val="0"/>
          <w:divBdr>
            <w:top w:val="none" w:sz="0" w:space="0" w:color="auto"/>
            <w:left w:val="none" w:sz="0" w:space="0" w:color="auto"/>
            <w:bottom w:val="none" w:sz="0" w:space="0" w:color="auto"/>
            <w:right w:val="none" w:sz="0" w:space="0" w:color="auto"/>
          </w:divBdr>
        </w:div>
      </w:divsChild>
    </w:div>
    <w:div w:id="105585670">
      <w:bodyDiv w:val="1"/>
      <w:marLeft w:val="0"/>
      <w:marRight w:val="0"/>
      <w:marTop w:val="0"/>
      <w:marBottom w:val="0"/>
      <w:divBdr>
        <w:top w:val="none" w:sz="0" w:space="0" w:color="auto"/>
        <w:left w:val="none" w:sz="0" w:space="0" w:color="auto"/>
        <w:bottom w:val="none" w:sz="0" w:space="0" w:color="auto"/>
        <w:right w:val="none" w:sz="0" w:space="0" w:color="auto"/>
      </w:divBdr>
    </w:div>
    <w:div w:id="345640653">
      <w:bodyDiv w:val="1"/>
      <w:marLeft w:val="0"/>
      <w:marRight w:val="0"/>
      <w:marTop w:val="0"/>
      <w:marBottom w:val="0"/>
      <w:divBdr>
        <w:top w:val="none" w:sz="0" w:space="0" w:color="auto"/>
        <w:left w:val="none" w:sz="0" w:space="0" w:color="auto"/>
        <w:bottom w:val="none" w:sz="0" w:space="0" w:color="auto"/>
        <w:right w:val="none" w:sz="0" w:space="0" w:color="auto"/>
      </w:divBdr>
    </w:div>
    <w:div w:id="511995737">
      <w:bodyDiv w:val="1"/>
      <w:marLeft w:val="0"/>
      <w:marRight w:val="0"/>
      <w:marTop w:val="0"/>
      <w:marBottom w:val="0"/>
      <w:divBdr>
        <w:top w:val="none" w:sz="0" w:space="0" w:color="auto"/>
        <w:left w:val="none" w:sz="0" w:space="0" w:color="auto"/>
        <w:bottom w:val="none" w:sz="0" w:space="0" w:color="auto"/>
        <w:right w:val="none" w:sz="0" w:space="0" w:color="auto"/>
      </w:divBdr>
    </w:div>
    <w:div w:id="543367317">
      <w:bodyDiv w:val="1"/>
      <w:marLeft w:val="0"/>
      <w:marRight w:val="0"/>
      <w:marTop w:val="0"/>
      <w:marBottom w:val="0"/>
      <w:divBdr>
        <w:top w:val="none" w:sz="0" w:space="0" w:color="auto"/>
        <w:left w:val="none" w:sz="0" w:space="0" w:color="auto"/>
        <w:bottom w:val="none" w:sz="0" w:space="0" w:color="auto"/>
        <w:right w:val="none" w:sz="0" w:space="0" w:color="auto"/>
      </w:divBdr>
    </w:div>
    <w:div w:id="631133331">
      <w:bodyDiv w:val="1"/>
      <w:marLeft w:val="0"/>
      <w:marRight w:val="0"/>
      <w:marTop w:val="0"/>
      <w:marBottom w:val="0"/>
      <w:divBdr>
        <w:top w:val="none" w:sz="0" w:space="0" w:color="auto"/>
        <w:left w:val="none" w:sz="0" w:space="0" w:color="auto"/>
        <w:bottom w:val="none" w:sz="0" w:space="0" w:color="auto"/>
        <w:right w:val="none" w:sz="0" w:space="0" w:color="auto"/>
      </w:divBdr>
      <w:divsChild>
        <w:div w:id="2019770253">
          <w:marLeft w:val="0"/>
          <w:marRight w:val="0"/>
          <w:marTop w:val="0"/>
          <w:marBottom w:val="0"/>
          <w:divBdr>
            <w:top w:val="none" w:sz="0" w:space="0" w:color="auto"/>
            <w:left w:val="none" w:sz="0" w:space="0" w:color="auto"/>
            <w:bottom w:val="none" w:sz="0" w:space="0" w:color="auto"/>
            <w:right w:val="none" w:sz="0" w:space="0" w:color="auto"/>
          </w:divBdr>
          <w:divsChild>
            <w:div w:id="1573346684">
              <w:marLeft w:val="0"/>
              <w:marRight w:val="0"/>
              <w:marTop w:val="0"/>
              <w:marBottom w:val="0"/>
              <w:divBdr>
                <w:top w:val="none" w:sz="0" w:space="0" w:color="auto"/>
                <w:left w:val="none" w:sz="0" w:space="0" w:color="auto"/>
                <w:bottom w:val="none" w:sz="0" w:space="0" w:color="auto"/>
                <w:right w:val="none" w:sz="0" w:space="0" w:color="auto"/>
              </w:divBdr>
              <w:divsChild>
                <w:div w:id="1382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8018">
      <w:bodyDiv w:val="1"/>
      <w:marLeft w:val="0"/>
      <w:marRight w:val="0"/>
      <w:marTop w:val="0"/>
      <w:marBottom w:val="0"/>
      <w:divBdr>
        <w:top w:val="none" w:sz="0" w:space="0" w:color="auto"/>
        <w:left w:val="none" w:sz="0" w:space="0" w:color="auto"/>
        <w:bottom w:val="none" w:sz="0" w:space="0" w:color="auto"/>
        <w:right w:val="none" w:sz="0" w:space="0" w:color="auto"/>
      </w:divBdr>
    </w:div>
    <w:div w:id="931738892">
      <w:bodyDiv w:val="1"/>
      <w:marLeft w:val="0"/>
      <w:marRight w:val="0"/>
      <w:marTop w:val="0"/>
      <w:marBottom w:val="0"/>
      <w:divBdr>
        <w:top w:val="none" w:sz="0" w:space="0" w:color="auto"/>
        <w:left w:val="none" w:sz="0" w:space="0" w:color="auto"/>
        <w:bottom w:val="none" w:sz="0" w:space="0" w:color="auto"/>
        <w:right w:val="none" w:sz="0" w:space="0" w:color="auto"/>
      </w:divBdr>
      <w:divsChild>
        <w:div w:id="1883975157">
          <w:marLeft w:val="0"/>
          <w:marRight w:val="0"/>
          <w:marTop w:val="0"/>
          <w:marBottom w:val="0"/>
          <w:divBdr>
            <w:top w:val="none" w:sz="0" w:space="0" w:color="auto"/>
            <w:left w:val="none" w:sz="0" w:space="0" w:color="auto"/>
            <w:bottom w:val="none" w:sz="0" w:space="0" w:color="auto"/>
            <w:right w:val="none" w:sz="0" w:space="0" w:color="auto"/>
          </w:divBdr>
          <w:divsChild>
            <w:div w:id="1853102275">
              <w:marLeft w:val="0"/>
              <w:marRight w:val="0"/>
              <w:marTop w:val="0"/>
              <w:marBottom w:val="0"/>
              <w:divBdr>
                <w:top w:val="none" w:sz="0" w:space="0" w:color="auto"/>
                <w:left w:val="none" w:sz="0" w:space="0" w:color="auto"/>
                <w:bottom w:val="none" w:sz="0" w:space="0" w:color="auto"/>
                <w:right w:val="none" w:sz="0" w:space="0" w:color="auto"/>
              </w:divBdr>
              <w:divsChild>
                <w:div w:id="207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2449">
      <w:bodyDiv w:val="1"/>
      <w:marLeft w:val="0"/>
      <w:marRight w:val="0"/>
      <w:marTop w:val="0"/>
      <w:marBottom w:val="0"/>
      <w:divBdr>
        <w:top w:val="none" w:sz="0" w:space="0" w:color="auto"/>
        <w:left w:val="none" w:sz="0" w:space="0" w:color="auto"/>
        <w:bottom w:val="none" w:sz="0" w:space="0" w:color="auto"/>
        <w:right w:val="none" w:sz="0" w:space="0" w:color="auto"/>
      </w:divBdr>
    </w:div>
    <w:div w:id="979922034">
      <w:bodyDiv w:val="1"/>
      <w:marLeft w:val="0"/>
      <w:marRight w:val="0"/>
      <w:marTop w:val="0"/>
      <w:marBottom w:val="0"/>
      <w:divBdr>
        <w:top w:val="none" w:sz="0" w:space="0" w:color="auto"/>
        <w:left w:val="none" w:sz="0" w:space="0" w:color="auto"/>
        <w:bottom w:val="none" w:sz="0" w:space="0" w:color="auto"/>
        <w:right w:val="none" w:sz="0" w:space="0" w:color="auto"/>
      </w:divBdr>
    </w:div>
    <w:div w:id="1015692539">
      <w:bodyDiv w:val="1"/>
      <w:marLeft w:val="0"/>
      <w:marRight w:val="0"/>
      <w:marTop w:val="0"/>
      <w:marBottom w:val="0"/>
      <w:divBdr>
        <w:top w:val="none" w:sz="0" w:space="0" w:color="auto"/>
        <w:left w:val="none" w:sz="0" w:space="0" w:color="auto"/>
        <w:bottom w:val="none" w:sz="0" w:space="0" w:color="auto"/>
        <w:right w:val="none" w:sz="0" w:space="0" w:color="auto"/>
      </w:divBdr>
      <w:divsChild>
        <w:div w:id="696541456">
          <w:marLeft w:val="0"/>
          <w:marRight w:val="0"/>
          <w:marTop w:val="0"/>
          <w:marBottom w:val="0"/>
          <w:divBdr>
            <w:top w:val="none" w:sz="0" w:space="0" w:color="auto"/>
            <w:left w:val="none" w:sz="0" w:space="0" w:color="auto"/>
            <w:bottom w:val="none" w:sz="0" w:space="0" w:color="auto"/>
            <w:right w:val="none" w:sz="0" w:space="0" w:color="auto"/>
          </w:divBdr>
          <w:divsChild>
            <w:div w:id="1833525940">
              <w:marLeft w:val="0"/>
              <w:marRight w:val="0"/>
              <w:marTop w:val="0"/>
              <w:marBottom w:val="0"/>
              <w:divBdr>
                <w:top w:val="none" w:sz="0" w:space="0" w:color="auto"/>
                <w:left w:val="none" w:sz="0" w:space="0" w:color="auto"/>
                <w:bottom w:val="none" w:sz="0" w:space="0" w:color="auto"/>
                <w:right w:val="none" w:sz="0" w:space="0" w:color="auto"/>
              </w:divBdr>
              <w:divsChild>
                <w:div w:id="12351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2181">
      <w:bodyDiv w:val="1"/>
      <w:marLeft w:val="0"/>
      <w:marRight w:val="0"/>
      <w:marTop w:val="0"/>
      <w:marBottom w:val="0"/>
      <w:divBdr>
        <w:top w:val="none" w:sz="0" w:space="0" w:color="auto"/>
        <w:left w:val="none" w:sz="0" w:space="0" w:color="auto"/>
        <w:bottom w:val="none" w:sz="0" w:space="0" w:color="auto"/>
        <w:right w:val="none" w:sz="0" w:space="0" w:color="auto"/>
      </w:divBdr>
    </w:div>
    <w:div w:id="1315446529">
      <w:bodyDiv w:val="1"/>
      <w:marLeft w:val="0"/>
      <w:marRight w:val="0"/>
      <w:marTop w:val="0"/>
      <w:marBottom w:val="0"/>
      <w:divBdr>
        <w:top w:val="none" w:sz="0" w:space="0" w:color="auto"/>
        <w:left w:val="none" w:sz="0" w:space="0" w:color="auto"/>
        <w:bottom w:val="none" w:sz="0" w:space="0" w:color="auto"/>
        <w:right w:val="none" w:sz="0" w:space="0" w:color="auto"/>
      </w:divBdr>
    </w:div>
    <w:div w:id="1367750439">
      <w:bodyDiv w:val="1"/>
      <w:marLeft w:val="0"/>
      <w:marRight w:val="0"/>
      <w:marTop w:val="0"/>
      <w:marBottom w:val="0"/>
      <w:divBdr>
        <w:top w:val="none" w:sz="0" w:space="0" w:color="auto"/>
        <w:left w:val="none" w:sz="0" w:space="0" w:color="auto"/>
        <w:bottom w:val="none" w:sz="0" w:space="0" w:color="auto"/>
        <w:right w:val="none" w:sz="0" w:space="0" w:color="auto"/>
      </w:divBdr>
      <w:divsChild>
        <w:div w:id="84574742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0432">
      <w:bodyDiv w:val="1"/>
      <w:marLeft w:val="0"/>
      <w:marRight w:val="0"/>
      <w:marTop w:val="0"/>
      <w:marBottom w:val="0"/>
      <w:divBdr>
        <w:top w:val="none" w:sz="0" w:space="0" w:color="auto"/>
        <w:left w:val="none" w:sz="0" w:space="0" w:color="auto"/>
        <w:bottom w:val="none" w:sz="0" w:space="0" w:color="auto"/>
        <w:right w:val="none" w:sz="0" w:space="0" w:color="auto"/>
      </w:divBdr>
    </w:div>
    <w:div w:id="1815676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7" ma:contentTypeDescription="Vytvoří nový dokument" ma:contentTypeScope="" ma:versionID="fd0868c6c949e95e41273fca8395199b">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61551c9ac2fba4da0747fcd31a386e93"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1e6f024-4790-4b5c-b7d7-a90983c0c4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7a895a0-f52c-40e5-95c2-313aa9ef12c8}" ma:internalName="TaxCatchAll" ma:showField="CatchAllData" ma:web="961c9d13-88be-4be9-80fe-4ea797c63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c9d13-88be-4be9-80fe-4ea797c639d0"/>
    <lcf76f155ced4ddcb4097134ff3c332f xmlns="b60d78d0-18d9-44d0-b67c-0fcdc702e1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B72205-BA28-4175-8CEB-4A30EA9E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E19D6-2602-41B0-9121-C0469D3B8861}">
  <ds:schemaRefs>
    <ds:schemaRef ds:uri="http://schemas.microsoft.com/sharepoint/v3/contenttype/forms"/>
  </ds:schemaRefs>
</ds:datastoreItem>
</file>

<file path=customXml/itemProps3.xml><?xml version="1.0" encoding="utf-8"?>
<ds:datastoreItem xmlns:ds="http://schemas.openxmlformats.org/officeDocument/2006/customXml" ds:itemID="{1CA1CAA7-7DB8-455B-9959-F36D816039E3}">
  <ds:schemaRefs>
    <ds:schemaRef ds:uri="http://schemas.microsoft.com/office/2006/metadata/properties"/>
    <ds:schemaRef ds:uri="http://schemas.microsoft.com/office/infopath/2007/PartnerControls"/>
    <ds:schemaRef ds:uri="961c9d13-88be-4be9-80fe-4ea797c639d0"/>
    <ds:schemaRef ds:uri="b60d78d0-18d9-44d0-b67c-0fcdc702e1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2753</Words>
  <Characters>16246</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Abstract</vt:lpstr>
      <vt:lpstr>Abstract</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Viktor Elšík</dc:creator>
  <cp:keywords/>
  <cp:lastModifiedBy>Otáhal, Michal</cp:lastModifiedBy>
  <cp:revision>2</cp:revision>
  <dcterms:created xsi:type="dcterms:W3CDTF">2023-02-13T10:57:00Z</dcterms:created>
  <dcterms:modified xsi:type="dcterms:W3CDTF">2023-02-13T10:57:00Z</dcterms:modified>
</cp:coreProperties>
</file>