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A1" w:rsidRPr="00F63514" w:rsidRDefault="004823A1" w:rsidP="00FE5AF8">
      <w:pPr>
        <w:tabs>
          <w:tab w:val="left" w:pos="-720"/>
          <w:tab w:val="left" w:pos="0"/>
          <w:tab w:val="left" w:pos="360"/>
        </w:tabs>
        <w:suppressAutoHyphens/>
        <w:jc w:val="center"/>
        <w:rPr>
          <w:b/>
          <w:spacing w:val="-3"/>
          <w:sz w:val="32"/>
          <w:szCs w:val="32"/>
        </w:rPr>
      </w:pPr>
      <w:bookmarkStart w:id="0" w:name="_GoBack"/>
      <w:bookmarkEnd w:id="0"/>
    </w:p>
    <w:p w:rsidR="004823A1" w:rsidRPr="00F63514" w:rsidRDefault="004823A1" w:rsidP="00FE5AF8">
      <w:pPr>
        <w:tabs>
          <w:tab w:val="left" w:pos="-720"/>
          <w:tab w:val="left" w:pos="0"/>
          <w:tab w:val="left" w:pos="360"/>
        </w:tabs>
        <w:suppressAutoHyphens/>
        <w:jc w:val="center"/>
        <w:rPr>
          <w:b/>
          <w:spacing w:val="-3"/>
          <w:sz w:val="32"/>
          <w:szCs w:val="32"/>
        </w:rPr>
      </w:pPr>
    </w:p>
    <w:p w:rsidR="00C76AF3" w:rsidRPr="00F63514" w:rsidRDefault="00C76AF3" w:rsidP="00FE5AF8">
      <w:pPr>
        <w:tabs>
          <w:tab w:val="left" w:pos="-720"/>
          <w:tab w:val="left" w:pos="0"/>
          <w:tab w:val="left" w:pos="360"/>
        </w:tabs>
        <w:suppressAutoHyphens/>
        <w:jc w:val="center"/>
        <w:rPr>
          <w:b/>
          <w:spacing w:val="-3"/>
          <w:sz w:val="40"/>
          <w:szCs w:val="40"/>
        </w:rPr>
      </w:pPr>
    </w:p>
    <w:p w:rsidR="00C76AF3" w:rsidRPr="00F63514" w:rsidRDefault="00C76AF3" w:rsidP="00FE5AF8">
      <w:pPr>
        <w:tabs>
          <w:tab w:val="left" w:pos="-720"/>
          <w:tab w:val="left" w:pos="0"/>
          <w:tab w:val="left" w:pos="360"/>
        </w:tabs>
        <w:suppressAutoHyphens/>
        <w:jc w:val="center"/>
        <w:rPr>
          <w:b/>
          <w:spacing w:val="-3"/>
          <w:sz w:val="40"/>
          <w:szCs w:val="40"/>
        </w:rPr>
      </w:pPr>
    </w:p>
    <w:p w:rsidR="00A5296C" w:rsidRPr="00F63514" w:rsidRDefault="00A5296C" w:rsidP="00FE5AF8">
      <w:pPr>
        <w:tabs>
          <w:tab w:val="left" w:pos="-720"/>
          <w:tab w:val="left" w:pos="0"/>
          <w:tab w:val="left" w:pos="360"/>
        </w:tabs>
        <w:suppressAutoHyphens/>
        <w:jc w:val="center"/>
        <w:rPr>
          <w:b/>
          <w:spacing w:val="-3"/>
          <w:sz w:val="40"/>
          <w:szCs w:val="40"/>
        </w:rPr>
      </w:pPr>
    </w:p>
    <w:p w:rsidR="00C76AF3" w:rsidRPr="00F63514" w:rsidRDefault="00C76AF3" w:rsidP="00FE5AF8">
      <w:pPr>
        <w:tabs>
          <w:tab w:val="left" w:pos="-720"/>
          <w:tab w:val="left" w:pos="0"/>
          <w:tab w:val="left" w:pos="360"/>
        </w:tabs>
        <w:suppressAutoHyphens/>
        <w:jc w:val="center"/>
        <w:rPr>
          <w:b/>
          <w:spacing w:val="-3"/>
          <w:sz w:val="40"/>
          <w:szCs w:val="40"/>
        </w:rPr>
      </w:pPr>
    </w:p>
    <w:p w:rsidR="006753D2" w:rsidRPr="00F63514" w:rsidRDefault="006753D2" w:rsidP="00FE5AF8">
      <w:pPr>
        <w:tabs>
          <w:tab w:val="left" w:pos="-720"/>
          <w:tab w:val="left" w:pos="0"/>
          <w:tab w:val="left" w:pos="360"/>
        </w:tabs>
        <w:suppressAutoHyphens/>
        <w:jc w:val="center"/>
        <w:rPr>
          <w:b/>
          <w:spacing w:val="-3"/>
          <w:sz w:val="40"/>
          <w:szCs w:val="40"/>
        </w:rPr>
      </w:pPr>
    </w:p>
    <w:p w:rsidR="006753D2" w:rsidRPr="00F63514" w:rsidRDefault="006753D2" w:rsidP="00FE5AF8">
      <w:pPr>
        <w:tabs>
          <w:tab w:val="left" w:pos="-720"/>
          <w:tab w:val="left" w:pos="0"/>
          <w:tab w:val="left" w:pos="360"/>
        </w:tabs>
        <w:suppressAutoHyphens/>
        <w:jc w:val="center"/>
        <w:rPr>
          <w:b/>
          <w:spacing w:val="-3"/>
          <w:sz w:val="40"/>
          <w:szCs w:val="40"/>
        </w:rPr>
      </w:pPr>
    </w:p>
    <w:p w:rsidR="00FE5AF8" w:rsidRPr="00F63514" w:rsidRDefault="00FE5AF8" w:rsidP="00FE5AF8">
      <w:pPr>
        <w:tabs>
          <w:tab w:val="left" w:pos="-720"/>
          <w:tab w:val="left" w:pos="0"/>
          <w:tab w:val="left" w:pos="360"/>
        </w:tabs>
        <w:suppressAutoHyphens/>
        <w:jc w:val="center"/>
        <w:rPr>
          <w:b/>
          <w:spacing w:val="-3"/>
          <w:sz w:val="40"/>
          <w:szCs w:val="40"/>
        </w:rPr>
      </w:pPr>
      <w:r w:rsidRPr="00F63514">
        <w:rPr>
          <w:b/>
          <w:spacing w:val="-3"/>
          <w:sz w:val="40"/>
          <w:szCs w:val="40"/>
        </w:rPr>
        <w:t>Univerzita Karlova v Praze, Filo</w:t>
      </w:r>
      <w:r w:rsidR="00E95CB2" w:rsidRPr="00F63514">
        <w:rPr>
          <w:b/>
          <w:spacing w:val="-3"/>
          <w:sz w:val="40"/>
          <w:szCs w:val="40"/>
        </w:rPr>
        <w:t>z</w:t>
      </w:r>
      <w:r w:rsidRPr="00F63514">
        <w:rPr>
          <w:b/>
          <w:spacing w:val="-3"/>
          <w:sz w:val="40"/>
          <w:szCs w:val="40"/>
        </w:rPr>
        <w:t>ofická fakulta</w:t>
      </w:r>
    </w:p>
    <w:p w:rsidR="00FE5AF8" w:rsidRPr="00F63514" w:rsidRDefault="00FE5AF8" w:rsidP="00FE5AF8">
      <w:pPr>
        <w:tabs>
          <w:tab w:val="left" w:pos="-720"/>
          <w:tab w:val="left" w:pos="0"/>
          <w:tab w:val="left" w:pos="360"/>
        </w:tabs>
        <w:suppressAutoHyphens/>
        <w:jc w:val="center"/>
        <w:rPr>
          <w:spacing w:val="-3"/>
          <w:sz w:val="24"/>
        </w:rPr>
      </w:pPr>
    </w:p>
    <w:p w:rsidR="00FE5AF8" w:rsidRPr="00F63514" w:rsidRDefault="00FE5AF8" w:rsidP="00CF3916">
      <w:pPr>
        <w:tabs>
          <w:tab w:val="left" w:pos="-720"/>
          <w:tab w:val="left" w:pos="0"/>
          <w:tab w:val="left" w:pos="360"/>
        </w:tabs>
        <w:suppressAutoHyphens/>
        <w:jc w:val="center"/>
        <w:rPr>
          <w:b/>
          <w:spacing w:val="-3"/>
          <w:sz w:val="32"/>
          <w:szCs w:val="32"/>
        </w:rPr>
      </w:pPr>
      <w:r w:rsidRPr="00F63514">
        <w:rPr>
          <w:b/>
          <w:spacing w:val="-3"/>
          <w:sz w:val="32"/>
          <w:szCs w:val="32"/>
        </w:rPr>
        <w:t>Výroční zpráva o hospodaření za rok 20</w:t>
      </w:r>
      <w:r w:rsidR="00F91C9D" w:rsidRPr="00F63514">
        <w:rPr>
          <w:b/>
          <w:spacing w:val="-3"/>
          <w:sz w:val="32"/>
          <w:szCs w:val="32"/>
        </w:rPr>
        <w:t>1</w:t>
      </w:r>
      <w:r w:rsidR="00CF3916">
        <w:rPr>
          <w:b/>
          <w:spacing w:val="-3"/>
          <w:sz w:val="32"/>
          <w:szCs w:val="32"/>
        </w:rPr>
        <w:t>3</w:t>
      </w:r>
    </w:p>
    <w:p w:rsidR="00FE5AF8" w:rsidRPr="00F63514" w:rsidRDefault="00FE5AF8">
      <w:pPr>
        <w:pStyle w:val="Nadpis8"/>
        <w:jc w:val="both"/>
        <w:rPr>
          <w:i w:val="0"/>
          <w:iCs/>
        </w:rPr>
      </w:pPr>
    </w:p>
    <w:p w:rsidR="004823A1" w:rsidRDefault="004823A1" w:rsidP="004823A1"/>
    <w:p w:rsidR="00E470AB" w:rsidRDefault="00E470AB" w:rsidP="004823A1"/>
    <w:p w:rsidR="00E470AB" w:rsidRDefault="00E470AB" w:rsidP="004823A1"/>
    <w:p w:rsidR="00E470AB" w:rsidRDefault="00E470AB" w:rsidP="004823A1"/>
    <w:p w:rsidR="00E470AB" w:rsidRDefault="00E470AB" w:rsidP="004823A1"/>
    <w:p w:rsidR="00E470AB" w:rsidRDefault="00E470AB" w:rsidP="004823A1"/>
    <w:p w:rsidR="00E470AB" w:rsidRDefault="00E470AB" w:rsidP="004823A1"/>
    <w:p w:rsidR="00E470AB" w:rsidRDefault="00E470AB" w:rsidP="004823A1"/>
    <w:p w:rsidR="00E470AB" w:rsidRPr="00F63514" w:rsidRDefault="00E470AB" w:rsidP="004823A1"/>
    <w:p w:rsidR="00E81E46" w:rsidRPr="00F63514" w:rsidRDefault="00E81E46" w:rsidP="004823A1"/>
    <w:p w:rsidR="00E470AB" w:rsidRPr="00710A2D" w:rsidRDefault="00E470AB" w:rsidP="00E470AB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710A2D">
        <w:rPr>
          <w:rFonts w:eastAsia="Arial"/>
          <w:sz w:val="24"/>
          <w:szCs w:val="24"/>
          <w:lang w:eastAsia="en-US"/>
        </w:rPr>
        <w:t>Výroční zpráva o hospodaření Filozofické fakulty Univerzity Karlovy v Praze je předkládána dle osnovy dané pokyny pro zpracování výroční zprávy veřejných vysokých škol o hospodaření vydanými MŠMT ČR. Zprávu tvoří textová část a tabulková část.</w:t>
      </w:r>
    </w:p>
    <w:p w:rsidR="00E470AB" w:rsidRPr="00710A2D" w:rsidRDefault="00E470AB" w:rsidP="00E470AB"/>
    <w:p w:rsidR="00E470AB" w:rsidRPr="00710A2D" w:rsidRDefault="00E470AB" w:rsidP="00E470AB"/>
    <w:p w:rsidR="00E470AB" w:rsidRPr="00710A2D" w:rsidRDefault="00E470AB" w:rsidP="0083621E">
      <w:pPr>
        <w:pStyle w:val="Nadpis8"/>
        <w:numPr>
          <w:ilvl w:val="0"/>
          <w:numId w:val="34"/>
        </w:numPr>
        <w:tabs>
          <w:tab w:val="clear" w:pos="0"/>
          <w:tab w:val="left" w:pos="851"/>
        </w:tabs>
        <w:ind w:left="0" w:firstLine="0"/>
        <w:jc w:val="both"/>
        <w:rPr>
          <w:i w:val="0"/>
          <w:iCs/>
        </w:rPr>
      </w:pPr>
      <w:r w:rsidRPr="00710A2D">
        <w:rPr>
          <w:i w:val="0"/>
          <w:iCs/>
        </w:rPr>
        <w:t>Úvod</w:t>
      </w:r>
    </w:p>
    <w:p w:rsidR="00E470AB" w:rsidRPr="00710A2D" w:rsidRDefault="00E470AB" w:rsidP="00E470AB">
      <w:pPr>
        <w:pStyle w:val="xl25"/>
        <w:spacing w:before="0" w:beforeAutospacing="0" w:after="0" w:afterAutospacing="0" w:line="288" w:lineRule="auto"/>
        <w:rPr>
          <w:rFonts w:ascii="Times New Roman" w:eastAsia="Times New Roman" w:hAnsi="Times New Roman" w:cs="Times New Roman"/>
          <w:szCs w:val="20"/>
        </w:rPr>
      </w:pPr>
    </w:p>
    <w:p w:rsidR="00E470AB" w:rsidRPr="006A4B88" w:rsidRDefault="00E470AB" w:rsidP="00E470AB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710A2D">
        <w:rPr>
          <w:rFonts w:eastAsia="Arial"/>
          <w:sz w:val="24"/>
          <w:szCs w:val="24"/>
          <w:lang w:eastAsia="en-US"/>
        </w:rPr>
        <w:t>Rok 201</w:t>
      </w:r>
      <w:r w:rsidR="00B054BB">
        <w:rPr>
          <w:rFonts w:eastAsia="Arial"/>
          <w:sz w:val="24"/>
          <w:szCs w:val="24"/>
          <w:lang w:eastAsia="en-US"/>
        </w:rPr>
        <w:t>3</w:t>
      </w:r>
      <w:r w:rsidRPr="00710A2D">
        <w:rPr>
          <w:rFonts w:eastAsia="Arial"/>
          <w:sz w:val="24"/>
          <w:szCs w:val="24"/>
          <w:lang w:eastAsia="en-US"/>
        </w:rPr>
        <w:t xml:space="preserve"> je možno při zpětném pohledu z hlediska vnějšího i vnitřního ekonomického prostředí charakterizovat jako veskrze příznivý. Fakulta byla celkově úspěšná v získávání finančních prostředků ať už formou institucionálního či účelového financování.</w:t>
      </w:r>
      <w:r w:rsidR="00B054BB">
        <w:rPr>
          <w:rFonts w:eastAsia="Arial"/>
          <w:sz w:val="24"/>
          <w:szCs w:val="24"/>
          <w:lang w:eastAsia="en-US"/>
        </w:rPr>
        <w:t xml:space="preserve"> </w:t>
      </w:r>
      <w:r w:rsidR="003E34C3">
        <w:rPr>
          <w:rFonts w:eastAsia="Arial"/>
          <w:sz w:val="24"/>
          <w:szCs w:val="24"/>
          <w:lang w:eastAsia="en-US"/>
        </w:rPr>
        <w:t>Díky velmi dobrému výsledku hospodaření předchozího roku, který šel na vrub restrukturaci nákladové strany rozpočtu v roce 2012, bylo možno v roce 2013 realizovat větší objem investičních akcí</w:t>
      </w:r>
      <w:r w:rsidR="00B054BB">
        <w:rPr>
          <w:rFonts w:eastAsia="Arial"/>
          <w:sz w:val="24"/>
          <w:szCs w:val="24"/>
          <w:lang w:eastAsia="en-US"/>
        </w:rPr>
        <w:t xml:space="preserve"> </w:t>
      </w:r>
      <w:r w:rsidR="003E34C3">
        <w:rPr>
          <w:rFonts w:eastAsia="Arial"/>
          <w:sz w:val="24"/>
          <w:szCs w:val="24"/>
          <w:lang w:eastAsia="en-US"/>
        </w:rPr>
        <w:t xml:space="preserve">než obvykle. </w:t>
      </w:r>
      <w:r w:rsidR="00E31BA4">
        <w:rPr>
          <w:rFonts w:eastAsia="Arial"/>
          <w:sz w:val="24"/>
          <w:szCs w:val="24"/>
          <w:lang w:eastAsia="en-US"/>
        </w:rPr>
        <w:t>Mimo</w:t>
      </w:r>
      <w:r w:rsidR="003421FA" w:rsidRPr="00710A2D">
        <w:rPr>
          <w:rFonts w:eastAsia="Arial"/>
          <w:sz w:val="24"/>
          <w:szCs w:val="24"/>
          <w:lang w:eastAsia="en-US"/>
        </w:rPr>
        <w:t>dotační</w:t>
      </w:r>
      <w:r w:rsidRPr="00710A2D">
        <w:rPr>
          <w:rFonts w:eastAsia="Arial"/>
          <w:sz w:val="24"/>
          <w:szCs w:val="24"/>
          <w:lang w:eastAsia="en-US"/>
        </w:rPr>
        <w:t xml:space="preserve"> a doplňková činnost se držela na stabilní úrovni.</w:t>
      </w:r>
    </w:p>
    <w:p w:rsidR="00E81E46" w:rsidRPr="00F63514" w:rsidRDefault="00E81E46" w:rsidP="004823A1"/>
    <w:p w:rsidR="009553A6" w:rsidRDefault="00AD5C3E" w:rsidP="001F4019">
      <w:pPr>
        <w:spacing w:line="288" w:lineRule="auto"/>
        <w:jc w:val="both"/>
        <w:rPr>
          <w:spacing w:val="-3"/>
          <w:sz w:val="24"/>
        </w:rPr>
      </w:pPr>
      <w:r w:rsidRPr="00AD5C3E">
        <w:rPr>
          <w:rFonts w:eastAsia="Arial"/>
          <w:sz w:val="24"/>
          <w:szCs w:val="24"/>
          <w:lang w:eastAsia="en-US"/>
        </w:rPr>
        <w:t>Stejně jako v předchozím, i v</w:t>
      </w:r>
      <w:r w:rsidR="00F81A81" w:rsidRPr="00AD5C3E">
        <w:rPr>
          <w:rFonts w:eastAsia="Arial"/>
          <w:sz w:val="24"/>
          <w:szCs w:val="24"/>
          <w:lang w:eastAsia="en-US"/>
        </w:rPr>
        <w:t xml:space="preserve"> roce 2013 </w:t>
      </w:r>
      <w:r w:rsidRPr="00AD5C3E">
        <w:rPr>
          <w:rFonts w:eastAsia="Arial"/>
          <w:sz w:val="24"/>
          <w:szCs w:val="24"/>
          <w:lang w:eastAsia="en-US"/>
        </w:rPr>
        <w:t xml:space="preserve">byl </w:t>
      </w:r>
      <w:r w:rsidR="00F81A81" w:rsidRPr="00AD5C3E">
        <w:rPr>
          <w:rFonts w:eastAsia="Arial"/>
          <w:sz w:val="24"/>
          <w:szCs w:val="24"/>
          <w:lang w:eastAsia="en-US"/>
        </w:rPr>
        <w:t>hospodářsk</w:t>
      </w:r>
      <w:r w:rsidRPr="00AD5C3E">
        <w:rPr>
          <w:rFonts w:eastAsia="Arial"/>
          <w:sz w:val="24"/>
          <w:szCs w:val="24"/>
          <w:lang w:eastAsia="en-US"/>
        </w:rPr>
        <w:t>ý</w:t>
      </w:r>
      <w:r w:rsidR="00F81A81" w:rsidRPr="00AD5C3E">
        <w:rPr>
          <w:rFonts w:eastAsia="Arial"/>
          <w:sz w:val="24"/>
          <w:szCs w:val="24"/>
          <w:lang w:eastAsia="en-US"/>
        </w:rPr>
        <w:t xml:space="preserve"> výsled</w:t>
      </w:r>
      <w:r w:rsidRPr="00AD5C3E">
        <w:rPr>
          <w:rFonts w:eastAsia="Arial"/>
          <w:sz w:val="24"/>
          <w:szCs w:val="24"/>
          <w:lang w:eastAsia="en-US"/>
        </w:rPr>
        <w:t>ek fakulty kladný</w:t>
      </w:r>
      <w:r w:rsidR="00F81A81">
        <w:rPr>
          <w:rFonts w:eastAsia="Arial"/>
          <w:sz w:val="24"/>
          <w:szCs w:val="24"/>
          <w:lang w:eastAsia="en-US"/>
        </w:rPr>
        <w:t>. Fakulta vytvořila zisk ve výši 3 825 tis. Kč</w:t>
      </w:r>
      <w:r w:rsidR="001F4019">
        <w:rPr>
          <w:rFonts w:eastAsia="Arial"/>
          <w:sz w:val="24"/>
          <w:szCs w:val="24"/>
          <w:lang w:eastAsia="en-US"/>
        </w:rPr>
        <w:t xml:space="preserve"> (6 009 tis. Kč v roce 2012)</w:t>
      </w:r>
      <w:r w:rsidR="00F81A81">
        <w:rPr>
          <w:rFonts w:eastAsia="Arial"/>
          <w:sz w:val="24"/>
          <w:szCs w:val="24"/>
          <w:lang w:eastAsia="en-US"/>
        </w:rPr>
        <w:t xml:space="preserve">. Na dosaženém kladném hospodářském výsledku se podílejí oba druhy činnosti. V hlavní činnosti </w:t>
      </w:r>
      <w:r w:rsidR="001F4019">
        <w:rPr>
          <w:rFonts w:eastAsia="Arial"/>
          <w:sz w:val="24"/>
          <w:szCs w:val="24"/>
          <w:lang w:eastAsia="en-US"/>
        </w:rPr>
        <w:t>dosáhl</w:t>
      </w:r>
      <w:r w:rsidR="00F81A81">
        <w:rPr>
          <w:rFonts w:eastAsia="Arial"/>
          <w:sz w:val="24"/>
          <w:szCs w:val="24"/>
          <w:lang w:eastAsia="en-US"/>
        </w:rPr>
        <w:t xml:space="preserve"> zisk 3 299 tis. Kč</w:t>
      </w:r>
      <w:r w:rsidR="001F4019">
        <w:rPr>
          <w:rFonts w:eastAsia="Arial"/>
          <w:sz w:val="24"/>
          <w:szCs w:val="24"/>
          <w:lang w:eastAsia="en-US"/>
        </w:rPr>
        <w:t xml:space="preserve">, </w:t>
      </w:r>
      <w:r w:rsidR="00F81A81">
        <w:rPr>
          <w:rFonts w:eastAsia="Arial"/>
          <w:sz w:val="24"/>
          <w:szCs w:val="24"/>
          <w:lang w:eastAsia="en-US"/>
        </w:rPr>
        <w:t xml:space="preserve">v doplňkové činnosti 526 tis. Kč. Výrazně nižší tvorba zisku v doplňkové činnosti </w:t>
      </w:r>
      <w:r w:rsidR="001F4019">
        <w:rPr>
          <w:rFonts w:eastAsia="Arial"/>
          <w:sz w:val="24"/>
          <w:szCs w:val="24"/>
          <w:lang w:eastAsia="en-US"/>
        </w:rPr>
        <w:t xml:space="preserve">proti roku 2012 </w:t>
      </w:r>
      <w:r w:rsidR="00F81A81">
        <w:rPr>
          <w:rFonts w:eastAsia="Arial"/>
          <w:sz w:val="24"/>
          <w:szCs w:val="24"/>
          <w:lang w:eastAsia="en-US"/>
        </w:rPr>
        <w:t xml:space="preserve">byla ovlivněna </w:t>
      </w:r>
      <w:r w:rsidR="001F4019">
        <w:rPr>
          <w:rFonts w:eastAsia="Arial"/>
          <w:sz w:val="24"/>
          <w:szCs w:val="24"/>
          <w:lang w:eastAsia="en-US"/>
        </w:rPr>
        <w:t>zaúčtováním daně z příjmů za rok 2012 ve výši 1 106 tis. Kč.</w:t>
      </w:r>
      <w:r w:rsidR="009553A6">
        <w:br w:type="page"/>
      </w:r>
    </w:p>
    <w:p w:rsidR="004D1019" w:rsidRPr="00F63514" w:rsidRDefault="004D1019" w:rsidP="004D1019">
      <w:pPr>
        <w:pStyle w:val="Zkladntext"/>
      </w:pPr>
      <w:r w:rsidRPr="00620A99">
        <w:lastRenderedPageBreak/>
        <w:t>Struktura hospodářského výsledku podle jednotlivých druhů činností je uvedena v následující tabulce:</w:t>
      </w:r>
    </w:p>
    <w:p w:rsidR="004D1019" w:rsidRPr="00F63514" w:rsidRDefault="004D1019" w:rsidP="006B51ED">
      <w:pPr>
        <w:pStyle w:val="Zkladntext"/>
        <w:tabs>
          <w:tab w:val="clear" w:pos="0"/>
          <w:tab w:val="left" w:pos="284"/>
        </w:tabs>
      </w:pPr>
    </w:p>
    <w:p w:rsidR="004D1019" w:rsidRPr="00F63514" w:rsidRDefault="004D1019" w:rsidP="004D1019">
      <w:pPr>
        <w:pStyle w:val="Zkladntext"/>
        <w:pBdr>
          <w:top w:val="single" w:sz="4" w:space="1" w:color="auto"/>
          <w:bottom w:val="single" w:sz="4" w:space="1" w:color="auto"/>
        </w:pBdr>
        <w:tabs>
          <w:tab w:val="right" w:pos="6840"/>
          <w:tab w:val="right" w:pos="8460"/>
        </w:tabs>
        <w:rPr>
          <w:b/>
        </w:rPr>
      </w:pPr>
      <w:r w:rsidRPr="00F63514">
        <w:rPr>
          <w:b/>
        </w:rPr>
        <w:t>Struktura hospodářského výsledku</w:t>
      </w:r>
      <w:r w:rsidRPr="00F63514">
        <w:rPr>
          <w:b/>
        </w:rPr>
        <w:tab/>
        <w:t>201</w:t>
      </w:r>
      <w:r w:rsidR="001F4019">
        <w:rPr>
          <w:b/>
        </w:rPr>
        <w:t>3</w:t>
      </w:r>
      <w:r w:rsidRPr="00F63514">
        <w:rPr>
          <w:b/>
        </w:rPr>
        <w:tab/>
        <w:t>201</w:t>
      </w:r>
      <w:r w:rsidR="001F4019">
        <w:rPr>
          <w:b/>
        </w:rPr>
        <w:t>2</w:t>
      </w:r>
    </w:p>
    <w:p w:rsidR="004D1019" w:rsidRDefault="006B51ED" w:rsidP="006B51ED">
      <w:pPr>
        <w:pStyle w:val="Zkladntext"/>
        <w:tabs>
          <w:tab w:val="clear" w:pos="0"/>
          <w:tab w:val="left" w:pos="284"/>
          <w:tab w:val="right" w:pos="6840"/>
          <w:tab w:val="right" w:pos="8460"/>
        </w:tabs>
        <w:ind w:left="284"/>
      </w:pPr>
      <w:r>
        <w:t>Dotační činnost</w:t>
      </w:r>
      <w:r w:rsidR="004D1019" w:rsidRPr="00F63514">
        <w:t xml:space="preserve"> </w:t>
      </w:r>
      <w:r w:rsidR="004D1019" w:rsidRPr="00F63514">
        <w:tab/>
      </w:r>
      <w:r w:rsidR="001F4019">
        <w:t>0</w:t>
      </w:r>
      <w:r w:rsidR="004D1019" w:rsidRPr="00F63514">
        <w:tab/>
      </w:r>
      <w:r w:rsidR="001F4019">
        <w:t>336</w:t>
      </w:r>
    </w:p>
    <w:p w:rsidR="006B51ED" w:rsidRDefault="00E31BA4" w:rsidP="006B51ED">
      <w:pPr>
        <w:pStyle w:val="Zkladntext"/>
        <w:tabs>
          <w:tab w:val="clear" w:pos="0"/>
          <w:tab w:val="left" w:pos="284"/>
          <w:tab w:val="right" w:pos="6840"/>
          <w:tab w:val="right" w:pos="8460"/>
        </w:tabs>
        <w:ind w:left="284"/>
      </w:pPr>
      <w:r>
        <w:t>Mimo</w:t>
      </w:r>
      <w:r w:rsidR="003421FA">
        <w:t>dotační</w:t>
      </w:r>
      <w:r w:rsidR="006B51ED">
        <w:t xml:space="preserve"> činnost</w:t>
      </w:r>
      <w:r w:rsidR="006B51ED">
        <w:tab/>
      </w:r>
      <w:r w:rsidR="001F4019">
        <w:t>3 299</w:t>
      </w:r>
      <w:r w:rsidR="006B51ED">
        <w:tab/>
      </w:r>
      <w:r w:rsidR="001F4019">
        <w:t>3 784</w:t>
      </w:r>
    </w:p>
    <w:p w:rsidR="004D1019" w:rsidRPr="00F63514" w:rsidRDefault="004D1019" w:rsidP="006B51ED">
      <w:pPr>
        <w:pStyle w:val="Zkladntext"/>
        <w:tabs>
          <w:tab w:val="clear" w:pos="0"/>
          <w:tab w:val="left" w:pos="284"/>
          <w:tab w:val="right" w:pos="6840"/>
          <w:tab w:val="right" w:pos="8460"/>
        </w:tabs>
        <w:ind w:left="284"/>
      </w:pPr>
      <w:r w:rsidRPr="00F63514">
        <w:t>Doplňková činnost</w:t>
      </w:r>
      <w:r w:rsidRPr="00F63514">
        <w:tab/>
      </w:r>
      <w:r w:rsidR="001F4019">
        <w:t>526</w:t>
      </w:r>
      <w:r w:rsidRPr="00F63514">
        <w:tab/>
      </w:r>
      <w:r w:rsidR="001F4019">
        <w:t>1 889</w:t>
      </w:r>
    </w:p>
    <w:p w:rsidR="004D1019" w:rsidRPr="00F63514" w:rsidRDefault="004D1019" w:rsidP="004D1019">
      <w:pPr>
        <w:pStyle w:val="Zkladntext"/>
        <w:pBdr>
          <w:top w:val="single" w:sz="4" w:space="1" w:color="auto"/>
          <w:bottom w:val="single" w:sz="4" w:space="1" w:color="auto"/>
        </w:pBdr>
        <w:tabs>
          <w:tab w:val="right" w:pos="6840"/>
          <w:tab w:val="right" w:pos="8460"/>
        </w:tabs>
        <w:rPr>
          <w:b/>
        </w:rPr>
      </w:pPr>
      <w:r w:rsidRPr="00F63514">
        <w:rPr>
          <w:b/>
        </w:rPr>
        <w:t>Celkem</w:t>
      </w:r>
      <w:r w:rsidRPr="00F63514">
        <w:rPr>
          <w:b/>
        </w:rPr>
        <w:tab/>
      </w:r>
      <w:r w:rsidR="001F4019">
        <w:rPr>
          <w:b/>
        </w:rPr>
        <w:t>3 825</w:t>
      </w:r>
      <w:r w:rsidRPr="00F63514">
        <w:rPr>
          <w:b/>
        </w:rPr>
        <w:tab/>
      </w:r>
      <w:r w:rsidR="001F4019">
        <w:rPr>
          <w:b/>
        </w:rPr>
        <w:t>6 009</w:t>
      </w:r>
    </w:p>
    <w:p w:rsidR="004D1019" w:rsidRDefault="004D1019" w:rsidP="004D1019">
      <w:pPr>
        <w:pStyle w:val="Zkladntext"/>
      </w:pPr>
    </w:p>
    <w:p w:rsidR="00561E34" w:rsidRPr="00DC7C76" w:rsidRDefault="00561E34" w:rsidP="00561E34">
      <w:pPr>
        <w:spacing w:line="288" w:lineRule="auto"/>
        <w:jc w:val="both"/>
        <w:rPr>
          <w:rFonts w:eastAsia="Arial"/>
          <w:b/>
          <w:i/>
          <w:sz w:val="24"/>
          <w:szCs w:val="24"/>
          <w:lang w:eastAsia="en-US"/>
        </w:rPr>
      </w:pPr>
      <w:r w:rsidRPr="00B80E8F">
        <w:rPr>
          <w:rFonts w:eastAsia="Arial"/>
          <w:b/>
          <w:i/>
          <w:sz w:val="24"/>
          <w:szCs w:val="24"/>
          <w:lang w:eastAsia="en-US"/>
        </w:rPr>
        <w:t>Podrobná věková struktura jednotlivých kategorií zaměstnanců k 31.</w:t>
      </w:r>
      <w:r>
        <w:rPr>
          <w:rFonts w:eastAsia="Arial"/>
          <w:b/>
          <w:i/>
          <w:sz w:val="24"/>
          <w:szCs w:val="24"/>
          <w:lang w:eastAsia="en-US"/>
        </w:rPr>
        <w:t xml:space="preserve"> </w:t>
      </w:r>
      <w:r w:rsidRPr="00B80E8F">
        <w:rPr>
          <w:rFonts w:eastAsia="Arial"/>
          <w:b/>
          <w:i/>
          <w:sz w:val="24"/>
          <w:szCs w:val="24"/>
          <w:lang w:eastAsia="en-US"/>
        </w:rPr>
        <w:t>12.</w:t>
      </w:r>
      <w:r>
        <w:rPr>
          <w:rFonts w:eastAsia="Arial"/>
          <w:b/>
          <w:i/>
          <w:sz w:val="24"/>
          <w:szCs w:val="24"/>
          <w:lang w:eastAsia="en-US"/>
        </w:rPr>
        <w:t xml:space="preserve"> </w:t>
      </w:r>
      <w:r w:rsidRPr="00B80E8F">
        <w:rPr>
          <w:rFonts w:eastAsia="Arial"/>
          <w:b/>
          <w:i/>
          <w:sz w:val="24"/>
          <w:szCs w:val="24"/>
          <w:lang w:eastAsia="en-US"/>
        </w:rPr>
        <w:t>201</w:t>
      </w:r>
      <w:r w:rsidR="009953BA">
        <w:rPr>
          <w:rFonts w:eastAsia="Arial"/>
          <w:b/>
          <w:i/>
          <w:sz w:val="24"/>
          <w:szCs w:val="24"/>
          <w:lang w:eastAsia="en-US"/>
        </w:rPr>
        <w:t>3</w:t>
      </w:r>
    </w:p>
    <w:p w:rsidR="00561E34" w:rsidRDefault="00561E34" w:rsidP="00561E34">
      <w:pPr>
        <w:spacing w:line="288" w:lineRule="auto"/>
        <w:jc w:val="both"/>
        <w:rPr>
          <w:rFonts w:eastAsia="Arial"/>
          <w:b/>
          <w:i/>
          <w:sz w:val="24"/>
          <w:szCs w:val="24"/>
          <w:lang w:eastAsia="en-US"/>
        </w:rPr>
      </w:pPr>
      <w:r w:rsidRPr="00410B01">
        <w:rPr>
          <w:rFonts w:eastAsia="Arial"/>
          <w:noProof/>
        </w:rPr>
        <w:drawing>
          <wp:inline distT="0" distB="0" distL="0" distR="0" wp14:anchorId="2F7F775F" wp14:editId="48134177">
            <wp:extent cx="5759450" cy="192635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2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E34" w:rsidRDefault="00561E34" w:rsidP="00561E34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</w:p>
    <w:p w:rsidR="00561E34" w:rsidRPr="00083045" w:rsidRDefault="004A6F4B" w:rsidP="00561E34">
      <w:pPr>
        <w:pStyle w:val="Zkladntext"/>
        <w:spacing w:after="120"/>
        <w:rPr>
          <w:b/>
          <w:i/>
        </w:rPr>
      </w:pPr>
      <w:r w:rsidRPr="00083045">
        <w:rPr>
          <w:b/>
          <w:i/>
        </w:rPr>
        <w:t>Srovnání s předchozím obdobím –</w:t>
      </w:r>
      <w:r>
        <w:rPr>
          <w:b/>
          <w:i/>
        </w:rPr>
        <w:t xml:space="preserve"> </w:t>
      </w:r>
      <w:r w:rsidRPr="00083045">
        <w:rPr>
          <w:b/>
          <w:i/>
        </w:rPr>
        <w:t>struktura k </w:t>
      </w:r>
      <w:r w:rsidR="00561E34" w:rsidRPr="00083045">
        <w:rPr>
          <w:b/>
          <w:i/>
        </w:rPr>
        <w:t>31. 12. 2012</w:t>
      </w:r>
    </w:p>
    <w:p w:rsidR="00561E34" w:rsidRDefault="00561E34" w:rsidP="00561E34">
      <w:pPr>
        <w:pStyle w:val="Zkladntext"/>
      </w:pPr>
      <w:r w:rsidRPr="004034B0">
        <w:rPr>
          <w:noProof/>
        </w:rPr>
        <w:drawing>
          <wp:inline distT="0" distB="0" distL="0" distR="0" wp14:anchorId="25C356C9" wp14:editId="51E52DB7">
            <wp:extent cx="5759450" cy="16198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E34" w:rsidRDefault="00561E34" w:rsidP="00561E34">
      <w:pPr>
        <w:pStyle w:val="Zkladntext"/>
        <w:spacing w:after="120"/>
      </w:pPr>
    </w:p>
    <w:p w:rsidR="00561E34" w:rsidRPr="00F63514" w:rsidRDefault="00561E34" w:rsidP="00561E34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F63514">
        <w:rPr>
          <w:rFonts w:eastAsia="Arial"/>
          <w:sz w:val="24"/>
          <w:szCs w:val="24"/>
          <w:lang w:eastAsia="en-US"/>
        </w:rPr>
        <w:t>Meziroční trendy v personální oblasti jsou následující:</w:t>
      </w:r>
    </w:p>
    <w:p w:rsidR="00561E34" w:rsidRPr="00F63514" w:rsidRDefault="00561E34" w:rsidP="00561E34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</w:p>
    <w:p w:rsidR="00561E34" w:rsidRPr="00083045" w:rsidRDefault="00561E34" w:rsidP="00561E34">
      <w:pPr>
        <w:pStyle w:val="Zkladntext"/>
        <w:rPr>
          <w:b/>
          <w:i/>
        </w:rPr>
      </w:pPr>
      <w:r w:rsidRPr="00083045">
        <w:rPr>
          <w:b/>
          <w:i/>
        </w:rPr>
        <w:t>Průměrné měsíční mzdy (kapitola 333)</w:t>
      </w:r>
    </w:p>
    <w:p w:rsidR="00561E34" w:rsidRDefault="00561E34" w:rsidP="00561E34">
      <w:pPr>
        <w:pStyle w:val="Zkladntext"/>
      </w:pPr>
      <w:r w:rsidRPr="00C824B7">
        <w:rPr>
          <w:noProof/>
        </w:rPr>
        <w:drawing>
          <wp:inline distT="0" distB="0" distL="0" distR="0" wp14:anchorId="6017B75F" wp14:editId="08E294F3">
            <wp:extent cx="5759450" cy="1528939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2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E34" w:rsidRDefault="00561E34" w:rsidP="00561E34">
      <w:pPr>
        <w:pStyle w:val="Zkladntext"/>
      </w:pPr>
    </w:p>
    <w:p w:rsidR="00561E34" w:rsidRPr="00083045" w:rsidRDefault="00561E34" w:rsidP="00561E34">
      <w:pPr>
        <w:pStyle w:val="Zkladntext"/>
        <w:rPr>
          <w:b/>
          <w:i/>
        </w:rPr>
      </w:pPr>
      <w:r w:rsidRPr="00083045">
        <w:rPr>
          <w:b/>
          <w:i/>
        </w:rPr>
        <w:t>Průměrné měsíční mzdy za všechny zdroje celkem</w:t>
      </w:r>
    </w:p>
    <w:p w:rsidR="00561E34" w:rsidRDefault="00561E34" w:rsidP="00561E34">
      <w:pPr>
        <w:pStyle w:val="Zkladntext"/>
      </w:pPr>
      <w:r w:rsidRPr="00BF413C">
        <w:rPr>
          <w:noProof/>
        </w:rPr>
        <w:drawing>
          <wp:inline distT="0" distB="0" distL="0" distR="0" wp14:anchorId="7778F528" wp14:editId="7661F949">
            <wp:extent cx="5759450" cy="634254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B22" w:rsidRDefault="00576B22" w:rsidP="002C703A">
      <w:pPr>
        <w:pStyle w:val="Zkladntext"/>
      </w:pPr>
    </w:p>
    <w:p w:rsidR="009553A6" w:rsidRPr="00710A2D" w:rsidRDefault="009553A6" w:rsidP="009553A6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C053C7">
        <w:rPr>
          <w:rFonts w:eastAsia="Arial"/>
          <w:sz w:val="24"/>
          <w:szCs w:val="24"/>
          <w:lang w:eastAsia="en-US"/>
        </w:rPr>
        <w:t xml:space="preserve">Z hlediska budoucího vývoje činností a na něj navazující strategie financování je </w:t>
      </w:r>
      <w:r w:rsidR="00253620" w:rsidRPr="00C053C7">
        <w:rPr>
          <w:rFonts w:eastAsia="Arial"/>
          <w:sz w:val="24"/>
          <w:szCs w:val="24"/>
          <w:lang w:eastAsia="en-US"/>
        </w:rPr>
        <w:t>pro rok 201</w:t>
      </w:r>
      <w:r w:rsidR="00A956E6" w:rsidRPr="00C053C7">
        <w:rPr>
          <w:rFonts w:eastAsia="Arial"/>
          <w:sz w:val="24"/>
          <w:szCs w:val="24"/>
          <w:lang w:eastAsia="en-US"/>
        </w:rPr>
        <w:t>3</w:t>
      </w:r>
      <w:r w:rsidR="00253620" w:rsidRPr="00C053C7">
        <w:rPr>
          <w:rFonts w:eastAsia="Arial"/>
          <w:sz w:val="24"/>
          <w:szCs w:val="24"/>
          <w:lang w:eastAsia="en-US"/>
        </w:rPr>
        <w:t xml:space="preserve"> </w:t>
      </w:r>
      <w:r w:rsidRPr="00C053C7">
        <w:rPr>
          <w:rFonts w:eastAsia="Arial"/>
          <w:sz w:val="24"/>
          <w:szCs w:val="24"/>
          <w:lang w:eastAsia="en-US"/>
        </w:rPr>
        <w:t xml:space="preserve">třeba především zmínit </w:t>
      </w:r>
      <w:r w:rsidR="00C053C7">
        <w:rPr>
          <w:rFonts w:eastAsia="Arial"/>
          <w:sz w:val="24"/>
          <w:szCs w:val="24"/>
          <w:lang w:eastAsia="en-US"/>
        </w:rPr>
        <w:t>přípravu na dopady novely Vnitřního mzdového předpisu UK při víceméně konstantním nebo do budoucna spíše mírně klesajícím příspěvku na vzdělávací činnost a institucionální dotaci na vědu. Druhým významným momentem je příprava na otevření financování z</w:t>
      </w:r>
      <w:r w:rsidR="00FE1CD4">
        <w:rPr>
          <w:rFonts w:eastAsia="Arial"/>
          <w:sz w:val="24"/>
          <w:szCs w:val="24"/>
          <w:lang w:eastAsia="en-US"/>
        </w:rPr>
        <w:t> </w:t>
      </w:r>
      <w:r w:rsidR="00C053C7">
        <w:rPr>
          <w:rFonts w:eastAsia="Arial"/>
          <w:sz w:val="24"/>
          <w:szCs w:val="24"/>
          <w:lang w:eastAsia="en-US"/>
        </w:rPr>
        <w:t>OP</w:t>
      </w:r>
      <w:r w:rsidR="00FE1CD4">
        <w:rPr>
          <w:rFonts w:eastAsia="Arial"/>
          <w:sz w:val="24"/>
          <w:szCs w:val="24"/>
          <w:lang w:eastAsia="en-US"/>
        </w:rPr>
        <w:t xml:space="preserve"> </w:t>
      </w:r>
      <w:r w:rsidR="00C053C7">
        <w:rPr>
          <w:rFonts w:eastAsia="Arial"/>
          <w:sz w:val="24"/>
          <w:szCs w:val="24"/>
          <w:lang w:eastAsia="en-US"/>
        </w:rPr>
        <w:t xml:space="preserve">VaVpI i pro pražské VŠ jako významného zdroje pro obnovu </w:t>
      </w:r>
      <w:r w:rsidR="009C4613">
        <w:rPr>
          <w:rFonts w:eastAsia="Arial"/>
          <w:sz w:val="24"/>
          <w:szCs w:val="24"/>
          <w:lang w:eastAsia="en-US"/>
        </w:rPr>
        <w:t xml:space="preserve">infrastruktury </w:t>
      </w:r>
      <w:r w:rsidR="00C053C7">
        <w:rPr>
          <w:rFonts w:eastAsia="Arial"/>
          <w:sz w:val="24"/>
          <w:szCs w:val="24"/>
          <w:lang w:eastAsia="en-US"/>
        </w:rPr>
        <w:t>fakulty</w:t>
      </w:r>
      <w:r w:rsidRPr="00C053C7">
        <w:rPr>
          <w:rFonts w:eastAsia="Arial"/>
          <w:sz w:val="24"/>
          <w:szCs w:val="24"/>
          <w:lang w:eastAsia="en-US"/>
        </w:rPr>
        <w:t>.</w:t>
      </w:r>
    </w:p>
    <w:p w:rsidR="009553A6" w:rsidRPr="00710A2D" w:rsidRDefault="009553A6" w:rsidP="009553A6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</w:p>
    <w:p w:rsidR="00576B22" w:rsidRDefault="009553A6" w:rsidP="009553A6">
      <w:pPr>
        <w:pStyle w:val="Zkladntext"/>
      </w:pPr>
      <w:r w:rsidRPr="00710A2D">
        <w:rPr>
          <w:rFonts w:eastAsia="Arial"/>
          <w:szCs w:val="24"/>
          <w:lang w:eastAsia="en-US"/>
        </w:rPr>
        <w:t>Pro čerpání jednotlivých příspěvků a dotací poskytnutých na základě rozhodnutí vydaných jednotlivými poskytovateli byly dodrženy podmínky uvedené v rozhodnutích – mj. dodržování zákona č. 320/2001 Sb., o finanční kontrole, účelovost, způsob vypořádání, převody do fondů, vratky, oznamovací povinnost, nakládání s Pravidly ES/EU pro poskytování veřejné podpory tak, aby nedošlo k narušení ani k hrozbě narušení hospodářské soutěže</w:t>
      </w:r>
    </w:p>
    <w:p w:rsidR="00E07D33" w:rsidRPr="00F63514" w:rsidRDefault="00E07D33">
      <w:pPr>
        <w:rPr>
          <w:sz w:val="24"/>
          <w:szCs w:val="24"/>
        </w:rPr>
      </w:pPr>
    </w:p>
    <w:p w:rsidR="00D675D4" w:rsidRPr="00F63514" w:rsidRDefault="00D675D4">
      <w:pPr>
        <w:rPr>
          <w:sz w:val="24"/>
          <w:szCs w:val="24"/>
        </w:rPr>
      </w:pPr>
    </w:p>
    <w:p w:rsidR="00716F76" w:rsidRPr="006B51ED" w:rsidRDefault="008D31FA" w:rsidP="0083621E">
      <w:pPr>
        <w:pStyle w:val="Zkladntextodsazen"/>
        <w:numPr>
          <w:ilvl w:val="0"/>
          <w:numId w:val="34"/>
        </w:numPr>
        <w:tabs>
          <w:tab w:val="left" w:pos="851"/>
        </w:tabs>
        <w:ind w:left="0" w:firstLine="0"/>
        <w:rPr>
          <w:b/>
          <w:bCs/>
        </w:rPr>
      </w:pPr>
      <w:r w:rsidRPr="006B51ED">
        <w:rPr>
          <w:b/>
          <w:bCs/>
        </w:rPr>
        <w:t>Roční účetní závěrka</w:t>
      </w:r>
    </w:p>
    <w:p w:rsidR="005B003E" w:rsidRPr="006B51ED" w:rsidRDefault="005B003E">
      <w:pPr>
        <w:pStyle w:val="Zkladntext"/>
      </w:pPr>
    </w:p>
    <w:p w:rsidR="008D31FA" w:rsidRPr="00F63514" w:rsidRDefault="008D31FA">
      <w:pPr>
        <w:pStyle w:val="Zkladntext"/>
      </w:pPr>
      <w:r w:rsidRPr="006B51ED">
        <w:t>Roční účetní závěrka byla zpracována podle pokynů rektorátu Univerzity Karlovy v Praze a v souladu s předpisy o účetnictví.</w:t>
      </w:r>
      <w:r w:rsidRPr="00F63514">
        <w:t xml:space="preserve"> </w:t>
      </w:r>
    </w:p>
    <w:p w:rsidR="00611B0E" w:rsidRPr="00F63514" w:rsidRDefault="00611B0E">
      <w:pPr>
        <w:pStyle w:val="Zkladntext"/>
      </w:pPr>
    </w:p>
    <w:p w:rsidR="008D31FA" w:rsidRPr="00F63514" w:rsidRDefault="008D31FA" w:rsidP="0083621E">
      <w:pPr>
        <w:pStyle w:val="Zkladntext"/>
        <w:numPr>
          <w:ilvl w:val="1"/>
          <w:numId w:val="36"/>
        </w:numPr>
        <w:tabs>
          <w:tab w:val="clear" w:pos="0"/>
          <w:tab w:val="left" w:pos="851"/>
        </w:tabs>
        <w:ind w:left="0" w:firstLine="0"/>
        <w:rPr>
          <w:b/>
        </w:rPr>
      </w:pPr>
      <w:r w:rsidRPr="00F63514">
        <w:rPr>
          <w:b/>
        </w:rPr>
        <w:t>Rozvaha</w:t>
      </w:r>
    </w:p>
    <w:p w:rsidR="008D31FA" w:rsidRPr="00F63514" w:rsidRDefault="008D31FA">
      <w:pPr>
        <w:pStyle w:val="Zkladntext"/>
      </w:pPr>
    </w:p>
    <w:p w:rsidR="002E4B42" w:rsidRDefault="008D31FA">
      <w:pPr>
        <w:pStyle w:val="Zkladntext"/>
      </w:pPr>
      <w:r w:rsidRPr="00F63514">
        <w:t xml:space="preserve">V porovnání s  rokem </w:t>
      </w:r>
      <w:r w:rsidR="005B780D">
        <w:t>2012</w:t>
      </w:r>
      <w:r w:rsidR="009D3381">
        <w:t xml:space="preserve"> </w:t>
      </w:r>
      <w:r w:rsidR="003D6505">
        <w:t>došlo</w:t>
      </w:r>
      <w:r w:rsidR="005B780D">
        <w:t xml:space="preserve"> v roce 2013</w:t>
      </w:r>
      <w:r w:rsidR="003D6505">
        <w:t xml:space="preserve"> k</w:t>
      </w:r>
      <w:r w:rsidR="005B780D">
        <w:t>e</w:t>
      </w:r>
      <w:r w:rsidR="003D6505">
        <w:t xml:space="preserve"> snížení </w:t>
      </w:r>
      <w:r w:rsidR="008B6256">
        <w:t xml:space="preserve">hodnoty </w:t>
      </w:r>
      <w:r w:rsidR="00116894">
        <w:t xml:space="preserve">aktiv </w:t>
      </w:r>
      <w:r w:rsidR="005B780D">
        <w:t xml:space="preserve">na </w:t>
      </w:r>
      <w:r w:rsidR="008B6256">
        <w:t>805 091 tis. Kč. Pokles ve výši</w:t>
      </w:r>
      <w:r w:rsidR="005B780D">
        <w:t xml:space="preserve"> 4 325 tis. Kč </w:t>
      </w:r>
      <w:r w:rsidR="008B6256">
        <w:t xml:space="preserve">však představuje snížení o pouhých </w:t>
      </w:r>
      <w:r w:rsidR="005B780D">
        <w:t>0,5 %</w:t>
      </w:r>
      <w:r w:rsidR="008B6256">
        <w:t xml:space="preserve"> celkové výše aktiv.</w:t>
      </w:r>
    </w:p>
    <w:p w:rsidR="002E4B42" w:rsidRDefault="002E4B42">
      <w:pPr>
        <w:pStyle w:val="Zkladntext"/>
      </w:pPr>
    </w:p>
    <w:p w:rsidR="00E74A14" w:rsidRDefault="002E4B42">
      <w:pPr>
        <w:pStyle w:val="Zkladntext"/>
      </w:pPr>
      <w:r>
        <w:t>Čistá h</w:t>
      </w:r>
      <w:r w:rsidR="003D6505">
        <w:t xml:space="preserve">odnota </w:t>
      </w:r>
      <w:r>
        <w:t xml:space="preserve">dlouhodobého majetku zůstala na úrovni roku 2012. Hodnoty jednotlivých druhů </w:t>
      </w:r>
      <w:r w:rsidR="00A41847">
        <w:t xml:space="preserve">dlouhodobého </w:t>
      </w:r>
      <w:r>
        <w:t xml:space="preserve">majetku jsou uvedeny v následující tabulce: </w:t>
      </w:r>
    </w:p>
    <w:p w:rsidR="008B6256" w:rsidRDefault="008B6256" w:rsidP="00BA44DB">
      <w:pPr>
        <w:pStyle w:val="Zkladntext"/>
        <w:jc w:val="left"/>
        <w:rPr>
          <w:b/>
        </w:rPr>
      </w:pPr>
    </w:p>
    <w:p w:rsidR="00E74A14" w:rsidRPr="00BA44DB" w:rsidRDefault="00BA44DB" w:rsidP="00BA44DB">
      <w:pPr>
        <w:pStyle w:val="Zkladntext"/>
        <w:jc w:val="left"/>
        <w:rPr>
          <w:b/>
        </w:rPr>
      </w:pPr>
      <w:r w:rsidRPr="00BA44DB">
        <w:rPr>
          <w:b/>
        </w:rPr>
        <w:t>Hodnota dlouhodobého majetku</w:t>
      </w:r>
    </w:p>
    <w:p w:rsidR="00BA44DB" w:rsidRDefault="00BA44DB" w:rsidP="00BA44DB">
      <w:pPr>
        <w:pStyle w:val="Zkladntext"/>
        <w:jc w:val="left"/>
      </w:pPr>
    </w:p>
    <w:p w:rsidR="00A41847" w:rsidRPr="00F63514" w:rsidRDefault="00BA44DB" w:rsidP="00A41847">
      <w:pPr>
        <w:pStyle w:val="Zkladntext"/>
        <w:pBdr>
          <w:top w:val="single" w:sz="4" w:space="1" w:color="auto"/>
          <w:bottom w:val="single" w:sz="4" w:space="1" w:color="auto"/>
        </w:pBdr>
        <w:tabs>
          <w:tab w:val="right" w:pos="6840"/>
          <w:tab w:val="right" w:pos="8460"/>
        </w:tabs>
        <w:rPr>
          <w:b/>
        </w:rPr>
      </w:pPr>
      <w:r w:rsidRPr="004A1224">
        <w:t>v tis. Kč</w:t>
      </w:r>
      <w:r w:rsidR="00A41847">
        <w:rPr>
          <w:b/>
        </w:rPr>
        <w:t xml:space="preserve"> </w:t>
      </w:r>
      <w:r w:rsidR="00A41847" w:rsidRPr="00F63514">
        <w:rPr>
          <w:b/>
        </w:rPr>
        <w:tab/>
        <w:t>201</w:t>
      </w:r>
      <w:r w:rsidR="00A41847">
        <w:rPr>
          <w:b/>
        </w:rPr>
        <w:t>3</w:t>
      </w:r>
      <w:r w:rsidR="00A41847" w:rsidRPr="00F63514">
        <w:rPr>
          <w:b/>
        </w:rPr>
        <w:tab/>
        <w:t>201</w:t>
      </w:r>
      <w:r w:rsidR="00A41847">
        <w:rPr>
          <w:b/>
        </w:rPr>
        <w:t>2</w:t>
      </w:r>
    </w:p>
    <w:p w:rsidR="00A41847" w:rsidRDefault="00A41847" w:rsidP="00A41847">
      <w:pPr>
        <w:pStyle w:val="Zkladntext"/>
        <w:tabs>
          <w:tab w:val="clear" w:pos="0"/>
          <w:tab w:val="left" w:pos="284"/>
          <w:tab w:val="right" w:pos="6840"/>
          <w:tab w:val="right" w:pos="8460"/>
        </w:tabs>
        <w:spacing w:line="240" w:lineRule="auto"/>
        <w:ind w:left="284"/>
      </w:pPr>
      <w:r>
        <w:t>Dlouhodobý nehmotný majetek</w:t>
      </w:r>
      <w:r w:rsidRPr="00F63514">
        <w:t xml:space="preserve"> </w:t>
      </w:r>
      <w:r w:rsidRPr="00F63514">
        <w:tab/>
      </w:r>
      <w:r>
        <w:t>10 311</w:t>
      </w:r>
      <w:r w:rsidRPr="00F63514">
        <w:tab/>
      </w:r>
      <w:r>
        <w:t>9 050</w:t>
      </w:r>
    </w:p>
    <w:p w:rsidR="00A41847" w:rsidRDefault="00A41847" w:rsidP="00A41847">
      <w:pPr>
        <w:pStyle w:val="Zkladntext"/>
        <w:tabs>
          <w:tab w:val="clear" w:pos="0"/>
          <w:tab w:val="left" w:pos="567"/>
          <w:tab w:val="right" w:pos="6840"/>
          <w:tab w:val="right" w:pos="8460"/>
        </w:tabs>
        <w:spacing w:line="240" w:lineRule="auto"/>
        <w:ind w:left="567"/>
      </w:pPr>
      <w:r>
        <w:t>Software</w:t>
      </w:r>
      <w:r>
        <w:tab/>
        <w:t>9 610</w:t>
      </w:r>
      <w:r>
        <w:tab/>
        <w:t>8 349</w:t>
      </w:r>
    </w:p>
    <w:p w:rsidR="00A41847" w:rsidRDefault="00A41847" w:rsidP="00A41847">
      <w:pPr>
        <w:pStyle w:val="Zkladntext"/>
        <w:tabs>
          <w:tab w:val="clear" w:pos="0"/>
          <w:tab w:val="left" w:pos="567"/>
          <w:tab w:val="right" w:pos="6840"/>
          <w:tab w:val="right" w:pos="8460"/>
        </w:tabs>
        <w:spacing w:line="240" w:lineRule="auto"/>
        <w:ind w:left="567"/>
      </w:pPr>
      <w:r>
        <w:t>Ostatní</w:t>
      </w:r>
      <w:r w:rsidR="00BA44DB">
        <w:t xml:space="preserve"> nehmotný majetek</w:t>
      </w:r>
      <w:r>
        <w:tab/>
        <w:t>701</w:t>
      </w:r>
      <w:r>
        <w:tab/>
        <w:t>701</w:t>
      </w:r>
    </w:p>
    <w:p w:rsidR="00A41847" w:rsidRDefault="00A41847" w:rsidP="00A41847">
      <w:pPr>
        <w:pStyle w:val="Zkladntext"/>
        <w:tabs>
          <w:tab w:val="clear" w:pos="0"/>
          <w:tab w:val="left" w:pos="284"/>
          <w:tab w:val="right" w:pos="6840"/>
          <w:tab w:val="right" w:pos="8460"/>
        </w:tabs>
        <w:spacing w:line="240" w:lineRule="auto"/>
        <w:ind w:left="284"/>
      </w:pPr>
      <w:r>
        <w:t>Dlouhodobý hmotný majetek</w:t>
      </w:r>
      <w:r>
        <w:tab/>
        <w:t>872 105</w:t>
      </w:r>
      <w:r>
        <w:tab/>
        <w:t>854 236</w:t>
      </w:r>
      <w:r>
        <w:tab/>
      </w:r>
    </w:p>
    <w:p w:rsidR="00A41847" w:rsidRDefault="00A41847" w:rsidP="00A41847">
      <w:pPr>
        <w:pStyle w:val="Zkladntext"/>
        <w:tabs>
          <w:tab w:val="clear" w:pos="0"/>
          <w:tab w:val="left" w:pos="567"/>
          <w:tab w:val="right" w:pos="6840"/>
          <w:tab w:val="right" w:pos="8460"/>
        </w:tabs>
        <w:spacing w:line="240" w:lineRule="auto"/>
        <w:ind w:left="567"/>
      </w:pPr>
      <w:r>
        <w:t>Pozemky</w:t>
      </w:r>
      <w:r>
        <w:tab/>
        <w:t>143 665</w:t>
      </w:r>
      <w:r>
        <w:tab/>
        <w:t>143 665</w:t>
      </w:r>
    </w:p>
    <w:p w:rsidR="00A41847" w:rsidRDefault="00A41847" w:rsidP="00A41847">
      <w:pPr>
        <w:pStyle w:val="Zkladntext"/>
        <w:tabs>
          <w:tab w:val="clear" w:pos="0"/>
          <w:tab w:val="left" w:pos="567"/>
          <w:tab w:val="right" w:pos="6840"/>
          <w:tab w:val="right" w:pos="8460"/>
        </w:tabs>
        <w:spacing w:line="240" w:lineRule="auto"/>
        <w:ind w:left="567"/>
      </w:pPr>
      <w:r>
        <w:t>Umělecká díla, předměty a sbírky</w:t>
      </w:r>
      <w:r>
        <w:tab/>
        <w:t>180</w:t>
      </w:r>
      <w:r>
        <w:tab/>
        <w:t>60</w:t>
      </w:r>
    </w:p>
    <w:p w:rsidR="00A41847" w:rsidRDefault="00A41847" w:rsidP="00A41847">
      <w:pPr>
        <w:pStyle w:val="Zkladntext"/>
        <w:tabs>
          <w:tab w:val="clear" w:pos="0"/>
          <w:tab w:val="left" w:pos="567"/>
          <w:tab w:val="right" w:pos="6840"/>
          <w:tab w:val="right" w:pos="8460"/>
        </w:tabs>
        <w:spacing w:line="240" w:lineRule="auto"/>
        <w:ind w:left="567"/>
      </w:pPr>
      <w:r>
        <w:t>Stavby</w:t>
      </w:r>
      <w:r>
        <w:tab/>
        <w:t>621 301</w:t>
      </w:r>
      <w:r>
        <w:tab/>
        <w:t>607 490</w:t>
      </w:r>
    </w:p>
    <w:p w:rsidR="00A41847" w:rsidRDefault="00A41847" w:rsidP="00A41847">
      <w:pPr>
        <w:pStyle w:val="Zkladntext"/>
        <w:tabs>
          <w:tab w:val="clear" w:pos="0"/>
          <w:tab w:val="left" w:pos="567"/>
          <w:tab w:val="right" w:pos="6840"/>
          <w:tab w:val="right" w:pos="8460"/>
        </w:tabs>
        <w:spacing w:line="240" w:lineRule="auto"/>
        <w:ind w:left="567"/>
      </w:pPr>
      <w:r>
        <w:lastRenderedPageBreak/>
        <w:t>Samostatné movité věci</w:t>
      </w:r>
      <w:r>
        <w:tab/>
        <w:t>85 483</w:t>
      </w:r>
      <w:r>
        <w:tab/>
        <w:t>84 254</w:t>
      </w:r>
    </w:p>
    <w:p w:rsidR="00A41847" w:rsidRDefault="00BA44DB" w:rsidP="00BA44DB">
      <w:pPr>
        <w:pStyle w:val="Zkladntext"/>
        <w:tabs>
          <w:tab w:val="clear" w:pos="0"/>
          <w:tab w:val="left" w:pos="567"/>
          <w:tab w:val="right" w:pos="6840"/>
          <w:tab w:val="right" w:pos="8460"/>
        </w:tabs>
        <w:spacing w:line="240" w:lineRule="auto"/>
        <w:ind w:left="567"/>
      </w:pPr>
      <w:r>
        <w:t>Ostatní hmotný majetek</w:t>
      </w:r>
      <w:r w:rsidR="00A41847" w:rsidRPr="00F63514">
        <w:tab/>
      </w:r>
      <w:r>
        <w:t>15 458</w:t>
      </w:r>
      <w:r>
        <w:tab/>
        <w:t>16 938</w:t>
      </w:r>
    </w:p>
    <w:p w:rsidR="00BA44DB" w:rsidRDefault="00BA44DB" w:rsidP="00BA44DB">
      <w:pPr>
        <w:pStyle w:val="Zkladntext"/>
        <w:tabs>
          <w:tab w:val="clear" w:pos="0"/>
          <w:tab w:val="left" w:pos="567"/>
          <w:tab w:val="right" w:pos="6840"/>
          <w:tab w:val="right" w:pos="8460"/>
        </w:tabs>
        <w:spacing w:line="240" w:lineRule="auto"/>
        <w:ind w:left="567"/>
      </w:pPr>
      <w:r>
        <w:t>Nedokončený hmotný majetek</w:t>
      </w:r>
      <w:r>
        <w:tab/>
        <w:t>6 018</w:t>
      </w:r>
      <w:r>
        <w:tab/>
        <w:t>1 829</w:t>
      </w:r>
    </w:p>
    <w:p w:rsidR="00BA44DB" w:rsidRPr="00F63514" w:rsidRDefault="00BA44DB" w:rsidP="00BA44DB">
      <w:pPr>
        <w:pStyle w:val="Zkladntext"/>
        <w:tabs>
          <w:tab w:val="clear" w:pos="0"/>
          <w:tab w:val="left" w:pos="284"/>
          <w:tab w:val="right" w:pos="6840"/>
          <w:tab w:val="right" w:pos="8460"/>
        </w:tabs>
        <w:spacing w:line="240" w:lineRule="auto"/>
        <w:ind w:left="284"/>
      </w:pPr>
      <w:r>
        <w:t>Oprávky celkem</w:t>
      </w:r>
      <w:r>
        <w:tab/>
        <w:t>- 215 639</w:t>
      </w:r>
      <w:r>
        <w:tab/>
        <w:t>- 196 990</w:t>
      </w:r>
    </w:p>
    <w:p w:rsidR="00A41847" w:rsidRPr="00F63514" w:rsidRDefault="00A41847" w:rsidP="00A41847">
      <w:pPr>
        <w:pStyle w:val="Zkladntext"/>
        <w:pBdr>
          <w:top w:val="single" w:sz="4" w:space="1" w:color="auto"/>
          <w:bottom w:val="single" w:sz="4" w:space="1" w:color="auto"/>
        </w:pBdr>
        <w:tabs>
          <w:tab w:val="right" w:pos="6840"/>
          <w:tab w:val="right" w:pos="8460"/>
        </w:tabs>
        <w:spacing w:line="240" w:lineRule="auto"/>
        <w:rPr>
          <w:b/>
        </w:rPr>
      </w:pPr>
      <w:r w:rsidRPr="00F63514">
        <w:rPr>
          <w:b/>
        </w:rPr>
        <w:t>Celkem</w:t>
      </w:r>
      <w:r w:rsidRPr="00F63514">
        <w:rPr>
          <w:b/>
        </w:rPr>
        <w:tab/>
      </w:r>
      <w:r w:rsidR="00BA44DB">
        <w:rPr>
          <w:b/>
        </w:rPr>
        <w:t>666 777</w:t>
      </w:r>
      <w:r w:rsidRPr="00F63514">
        <w:rPr>
          <w:b/>
        </w:rPr>
        <w:tab/>
      </w:r>
      <w:r>
        <w:rPr>
          <w:b/>
        </w:rPr>
        <w:t>6</w:t>
      </w:r>
      <w:r w:rsidR="00BA44DB">
        <w:rPr>
          <w:b/>
        </w:rPr>
        <w:t>66 296</w:t>
      </w:r>
    </w:p>
    <w:p w:rsidR="00A41847" w:rsidRDefault="00A41847">
      <w:pPr>
        <w:pStyle w:val="Zkladntext"/>
      </w:pPr>
    </w:p>
    <w:p w:rsidR="000A47AA" w:rsidRDefault="000A47AA">
      <w:pPr>
        <w:pStyle w:val="Zkladntext"/>
      </w:pPr>
    </w:p>
    <w:p w:rsidR="008D31FA" w:rsidRPr="00F63514" w:rsidRDefault="009F63AE">
      <w:pPr>
        <w:pStyle w:val="Zkladntext"/>
      </w:pPr>
      <w:r>
        <w:t>Hodnota</w:t>
      </w:r>
      <w:r w:rsidR="007C2011" w:rsidRPr="00F63514">
        <w:t xml:space="preserve"> krátkodobého majetku</w:t>
      </w:r>
      <w:r>
        <w:t xml:space="preserve"> </w:t>
      </w:r>
      <w:r w:rsidR="007C2011" w:rsidRPr="00F63514">
        <w:t xml:space="preserve">se </w:t>
      </w:r>
      <w:r>
        <w:t>proti roku 201</w:t>
      </w:r>
      <w:r w:rsidR="00BA44DB">
        <w:t>2</w:t>
      </w:r>
      <w:r>
        <w:t xml:space="preserve"> </w:t>
      </w:r>
      <w:r w:rsidR="00BA44DB">
        <w:t>snížila</w:t>
      </w:r>
      <w:r w:rsidR="00E74A14">
        <w:t xml:space="preserve"> o </w:t>
      </w:r>
      <w:r w:rsidR="00BA44DB">
        <w:t>4 806</w:t>
      </w:r>
      <w:r w:rsidR="00AA015D">
        <w:t xml:space="preserve"> tis</w:t>
      </w:r>
      <w:r w:rsidR="00E74A14">
        <w:t xml:space="preserve">. Kč a dosáhla </w:t>
      </w:r>
      <w:r>
        <w:t>výše</w:t>
      </w:r>
      <w:r w:rsidR="007C2011" w:rsidRPr="00F63514">
        <w:t xml:space="preserve"> </w:t>
      </w:r>
      <w:r w:rsidR="00A20E05">
        <w:br/>
      </w:r>
      <w:r w:rsidR="00BA44DB">
        <w:t>138 314</w:t>
      </w:r>
      <w:r w:rsidR="00AA015D">
        <w:t xml:space="preserve"> tis</w:t>
      </w:r>
      <w:r w:rsidR="00E74A14">
        <w:t>. Kč.</w:t>
      </w:r>
      <w:r w:rsidR="007C2011" w:rsidRPr="00F63514">
        <w:t xml:space="preserve"> </w:t>
      </w:r>
      <w:r>
        <w:t xml:space="preserve">Téměř 96 % této hodnoty </w:t>
      </w:r>
      <w:r w:rsidR="00FE13B8">
        <w:t>představuje</w:t>
      </w:r>
      <w:r>
        <w:t xml:space="preserve"> finanční majetek, zbytek </w:t>
      </w:r>
      <w:r w:rsidR="005313F2">
        <w:t xml:space="preserve">pak pohledávky a jiná aktiva. </w:t>
      </w:r>
      <w:r w:rsidR="00E74A14">
        <w:t xml:space="preserve">Krátkodobý </w:t>
      </w:r>
      <w:r w:rsidR="005313F2">
        <w:t xml:space="preserve">finanční </w:t>
      </w:r>
      <w:r w:rsidR="00E74A14">
        <w:t>majetek</w:t>
      </w:r>
      <w:r w:rsidR="005313F2">
        <w:t xml:space="preserve"> tvoří převážně </w:t>
      </w:r>
      <w:r w:rsidR="00FE13B8">
        <w:t xml:space="preserve">peněžní </w:t>
      </w:r>
      <w:r w:rsidR="00E74A14">
        <w:t>prostředk</w:t>
      </w:r>
      <w:r w:rsidR="005313F2">
        <w:t>y</w:t>
      </w:r>
      <w:r w:rsidR="00E74A14">
        <w:t xml:space="preserve"> uložen</w:t>
      </w:r>
      <w:r w:rsidR="005313F2">
        <w:t>é</w:t>
      </w:r>
      <w:r w:rsidR="00E74A14">
        <w:t xml:space="preserve"> na bankovních účtech</w:t>
      </w:r>
      <w:r w:rsidR="005313F2">
        <w:t xml:space="preserve">. Jejich hodnota </w:t>
      </w:r>
      <w:r w:rsidR="00FB7DD4">
        <w:t xml:space="preserve">činila 132 141 tis. Kč, </w:t>
      </w:r>
      <w:r w:rsidR="00E74A14">
        <w:t>proti roku 201</w:t>
      </w:r>
      <w:r w:rsidR="00BA44DB">
        <w:t>2</w:t>
      </w:r>
      <w:r w:rsidR="00E74A14">
        <w:t xml:space="preserve"> </w:t>
      </w:r>
      <w:r w:rsidR="00FB7DD4">
        <w:t xml:space="preserve">však došlo ke snížení </w:t>
      </w:r>
      <w:r w:rsidR="00FE13B8">
        <w:t xml:space="preserve">o </w:t>
      </w:r>
      <w:r w:rsidR="00FB7DD4">
        <w:t xml:space="preserve">4 </w:t>
      </w:r>
      <w:r w:rsidR="00BF2D37">
        <w:t>459</w:t>
      </w:r>
      <w:r w:rsidR="00AA015D">
        <w:t xml:space="preserve"> tis</w:t>
      </w:r>
      <w:r w:rsidR="00FE13B8">
        <w:t xml:space="preserve">. Kč, tj. o </w:t>
      </w:r>
      <w:r w:rsidR="00FB7DD4">
        <w:t>3,3</w:t>
      </w:r>
      <w:r w:rsidR="00FE13B8">
        <w:t>%.</w:t>
      </w:r>
      <w:r w:rsidR="00E74A14">
        <w:t xml:space="preserve"> </w:t>
      </w:r>
      <w:r w:rsidR="005313F2">
        <w:t xml:space="preserve">Celkové pohledávky </w:t>
      </w:r>
      <w:r w:rsidR="00FB7DD4">
        <w:t xml:space="preserve">a jiná aktiva </w:t>
      </w:r>
      <w:r w:rsidR="00FE1CD4">
        <w:t>se pohybují v</w:t>
      </w:r>
      <w:r w:rsidR="00FB7DD4">
        <w:t xml:space="preserve"> úrovni roku 2012</w:t>
      </w:r>
      <w:r w:rsidR="005313F2">
        <w:t>.</w:t>
      </w:r>
    </w:p>
    <w:p w:rsidR="007C2011" w:rsidRPr="00F63514" w:rsidRDefault="007C2011">
      <w:pPr>
        <w:pStyle w:val="Zkladntext"/>
      </w:pPr>
    </w:p>
    <w:p w:rsidR="00531921" w:rsidRDefault="003C137D">
      <w:pPr>
        <w:pStyle w:val="Zkladntext"/>
      </w:pPr>
      <w:r w:rsidRPr="00F63514">
        <w:t>Hodnota</w:t>
      </w:r>
      <w:r w:rsidR="007C2011" w:rsidRPr="00F63514">
        <w:t xml:space="preserve"> vlastních zdrojů se </w:t>
      </w:r>
      <w:r w:rsidR="00FB7DD4">
        <w:t>snížila</w:t>
      </w:r>
      <w:r w:rsidR="007C2011" w:rsidRPr="00F63514">
        <w:t xml:space="preserve"> o </w:t>
      </w:r>
      <w:r w:rsidR="00FB7DD4">
        <w:t>8 173</w:t>
      </w:r>
      <w:r w:rsidR="007E2C3B">
        <w:t xml:space="preserve"> tis</w:t>
      </w:r>
      <w:r w:rsidR="00FE13B8">
        <w:t>. Kč</w:t>
      </w:r>
      <w:r w:rsidR="00CE44A9">
        <w:t xml:space="preserve">. Pokles byl způsoben </w:t>
      </w:r>
      <w:r w:rsidR="006F3CDE">
        <w:t>snížením</w:t>
      </w:r>
      <w:r w:rsidR="00CE44A9">
        <w:t xml:space="preserve"> </w:t>
      </w:r>
      <w:r w:rsidR="006F3CDE">
        <w:t xml:space="preserve">hodnoty </w:t>
      </w:r>
      <w:r w:rsidR="00CE44A9">
        <w:t>celkového jmění</w:t>
      </w:r>
      <w:r w:rsidR="006F3CDE">
        <w:t xml:space="preserve">. </w:t>
      </w:r>
      <w:r w:rsidR="00CE44A9">
        <w:t>Vlastní jmění se sice zvýšilo o 481 tis. Kč, ale hodnot</w:t>
      </w:r>
      <w:r w:rsidR="006F3CDE">
        <w:t>a</w:t>
      </w:r>
      <w:r w:rsidR="00CE44A9">
        <w:t xml:space="preserve"> fondů </w:t>
      </w:r>
      <w:r w:rsidR="006F3CDE">
        <w:t xml:space="preserve">se snížila </w:t>
      </w:r>
      <w:r w:rsidR="00CE44A9">
        <w:t>o 8 770 tis. Kč</w:t>
      </w:r>
      <w:r w:rsidR="00531921">
        <w:t xml:space="preserve">. </w:t>
      </w:r>
      <w:r w:rsidR="006F3CDE">
        <w:t xml:space="preserve"> Struktura tvorby a čerpání fondů je uvedena v bodě 4 zprávy. </w:t>
      </w:r>
      <w:r w:rsidR="00531921" w:rsidRPr="00F63514">
        <w:t xml:space="preserve">Hodnota cizích zdrojů </w:t>
      </w:r>
      <w:r w:rsidR="006F3CDE">
        <w:t>se zvýšila o 3 </w:t>
      </w:r>
      <w:r w:rsidR="00BF2D37">
        <w:t>848</w:t>
      </w:r>
      <w:r w:rsidR="006F3CDE">
        <w:t xml:space="preserve"> tis. Kč.</w:t>
      </w:r>
    </w:p>
    <w:p w:rsidR="008D31FA" w:rsidRPr="00F63514" w:rsidRDefault="008D31FA">
      <w:pPr>
        <w:pStyle w:val="Zkladntext"/>
      </w:pPr>
    </w:p>
    <w:p w:rsidR="00611B0E" w:rsidRPr="00F63514" w:rsidRDefault="00611B0E">
      <w:pPr>
        <w:pStyle w:val="Zkladntext"/>
      </w:pPr>
    </w:p>
    <w:p w:rsidR="008D31FA" w:rsidRPr="00F63514" w:rsidRDefault="00FE667A" w:rsidP="0083621E">
      <w:pPr>
        <w:pStyle w:val="Zkladntext"/>
        <w:numPr>
          <w:ilvl w:val="1"/>
          <w:numId w:val="36"/>
        </w:numPr>
        <w:tabs>
          <w:tab w:val="clear" w:pos="0"/>
          <w:tab w:val="left" w:pos="851"/>
        </w:tabs>
        <w:ind w:left="0" w:firstLine="0"/>
        <w:rPr>
          <w:b/>
        </w:rPr>
      </w:pPr>
      <w:r w:rsidRPr="00F63514">
        <w:rPr>
          <w:b/>
        </w:rPr>
        <w:t>Výkaz zisku a ztráty</w:t>
      </w:r>
    </w:p>
    <w:p w:rsidR="008D31FA" w:rsidRPr="00F63514" w:rsidRDefault="008D31FA">
      <w:pPr>
        <w:pStyle w:val="Zkladntext"/>
      </w:pPr>
    </w:p>
    <w:p w:rsidR="00A06EEC" w:rsidRDefault="006F3CDE">
      <w:pPr>
        <w:pStyle w:val="Zkladntext"/>
      </w:pPr>
      <w:r>
        <w:t>Fakulta v roce 2013 navázala na dobré výsledk</w:t>
      </w:r>
      <w:r w:rsidR="00D02CD0">
        <w:t>y</w:t>
      </w:r>
      <w:r>
        <w:t xml:space="preserve"> roku 201</w:t>
      </w:r>
      <w:r w:rsidR="00D02CD0">
        <w:t>2</w:t>
      </w:r>
      <w:r>
        <w:t xml:space="preserve"> a opět </w:t>
      </w:r>
      <w:r w:rsidR="00D02CD0">
        <w:t xml:space="preserve">vytvořila </w:t>
      </w:r>
      <w:r>
        <w:t>kladn</w:t>
      </w:r>
      <w:r w:rsidR="00D02CD0">
        <w:t>ý</w:t>
      </w:r>
      <w:r>
        <w:t xml:space="preserve"> hospodářsk</w:t>
      </w:r>
      <w:r w:rsidR="00D02CD0">
        <w:t>ý</w:t>
      </w:r>
      <w:r>
        <w:t xml:space="preserve"> výsled</w:t>
      </w:r>
      <w:r w:rsidR="00D02CD0">
        <w:t>e</w:t>
      </w:r>
      <w:r>
        <w:t>k</w:t>
      </w:r>
      <w:r w:rsidR="00D02CD0">
        <w:t>.</w:t>
      </w:r>
      <w:r w:rsidR="00F47D13">
        <w:t xml:space="preserve"> </w:t>
      </w:r>
      <w:r w:rsidR="00D02CD0">
        <w:t>Vývoj tvorby hospodářského výsledku v jednotlivých letech je uveden v následující tabulce (v tis. Kč):</w:t>
      </w:r>
    </w:p>
    <w:p w:rsidR="00D02CD0" w:rsidRDefault="00D02CD0" w:rsidP="00D02CD0">
      <w:pPr>
        <w:pStyle w:val="Zkladntext"/>
        <w:tabs>
          <w:tab w:val="right" w:pos="4253"/>
          <w:tab w:val="right" w:pos="5670"/>
          <w:tab w:val="right" w:pos="7088"/>
          <w:tab w:val="right" w:pos="8505"/>
        </w:tabs>
        <w:rPr>
          <w:b/>
        </w:rPr>
      </w:pPr>
    </w:p>
    <w:p w:rsidR="00A06EEC" w:rsidRPr="00BA335E" w:rsidRDefault="00A06EEC" w:rsidP="00D02CD0">
      <w:pPr>
        <w:pStyle w:val="Zkladntext"/>
        <w:tabs>
          <w:tab w:val="right" w:pos="4253"/>
          <w:tab w:val="right" w:pos="5670"/>
          <w:tab w:val="right" w:pos="7088"/>
          <w:tab w:val="right" w:pos="8505"/>
        </w:tabs>
        <w:rPr>
          <w:b/>
        </w:rPr>
      </w:pPr>
      <w:r w:rsidRPr="00A06EEC">
        <w:rPr>
          <w:b/>
        </w:rPr>
        <w:tab/>
      </w:r>
      <w:r w:rsidRPr="00BA335E">
        <w:rPr>
          <w:b/>
        </w:rPr>
        <w:t>201</w:t>
      </w:r>
      <w:r w:rsidR="006F3CDE">
        <w:rPr>
          <w:b/>
        </w:rPr>
        <w:t>3</w:t>
      </w:r>
      <w:r w:rsidRPr="00BA335E">
        <w:rPr>
          <w:b/>
        </w:rPr>
        <w:tab/>
        <w:t>201</w:t>
      </w:r>
      <w:r w:rsidR="006F3CDE">
        <w:rPr>
          <w:b/>
        </w:rPr>
        <w:t>2</w:t>
      </w:r>
      <w:r w:rsidRPr="00BA335E">
        <w:rPr>
          <w:b/>
        </w:rPr>
        <w:tab/>
        <w:t>201</w:t>
      </w:r>
      <w:r w:rsidR="006F3CDE">
        <w:rPr>
          <w:b/>
        </w:rPr>
        <w:t>1</w:t>
      </w:r>
      <w:r w:rsidRPr="00BA335E">
        <w:rPr>
          <w:b/>
        </w:rPr>
        <w:tab/>
        <w:t>20</w:t>
      </w:r>
      <w:r w:rsidR="006F3CDE">
        <w:rPr>
          <w:b/>
        </w:rPr>
        <w:t>10</w:t>
      </w:r>
    </w:p>
    <w:p w:rsidR="00A06EEC" w:rsidRDefault="00A06EEC" w:rsidP="00365137">
      <w:pPr>
        <w:pStyle w:val="Zkladntext"/>
        <w:pBdr>
          <w:top w:val="single" w:sz="4" w:space="1" w:color="auto"/>
          <w:bottom w:val="single" w:sz="4" w:space="1" w:color="auto"/>
        </w:pBdr>
        <w:tabs>
          <w:tab w:val="right" w:pos="4253"/>
          <w:tab w:val="right" w:pos="5670"/>
          <w:tab w:val="right" w:pos="7088"/>
          <w:tab w:val="right" w:pos="8505"/>
        </w:tabs>
      </w:pPr>
      <w:r w:rsidRPr="00BA335E">
        <w:t xml:space="preserve">Celkový </w:t>
      </w:r>
      <w:r w:rsidR="004B0FBB">
        <w:t>hospodářský výsledek</w:t>
      </w:r>
      <w:r w:rsidRPr="00BA335E">
        <w:tab/>
      </w:r>
      <w:r w:rsidR="006F3CDE">
        <w:t>3 825</w:t>
      </w:r>
      <w:r w:rsidRPr="00BA335E">
        <w:tab/>
      </w:r>
      <w:r w:rsidR="006F3CDE">
        <w:t>6 009</w:t>
      </w:r>
      <w:r w:rsidRPr="00BA335E">
        <w:tab/>
      </w:r>
      <w:r w:rsidR="006F3CDE">
        <w:t>- 7 781</w:t>
      </w:r>
      <w:r w:rsidRPr="00BA335E">
        <w:tab/>
      </w:r>
      <w:r w:rsidR="006F3CDE">
        <w:t>137</w:t>
      </w:r>
    </w:p>
    <w:p w:rsidR="00A06EEC" w:rsidRPr="00F63514" w:rsidRDefault="00A06EEC">
      <w:pPr>
        <w:pStyle w:val="Zkladntext"/>
      </w:pPr>
    </w:p>
    <w:p w:rsidR="00111AAC" w:rsidRPr="00F63514" w:rsidRDefault="006D36AC">
      <w:pPr>
        <w:pStyle w:val="Zkladntext"/>
      </w:pPr>
      <w:r w:rsidRPr="00F63514">
        <w:t>Výnosy</w:t>
      </w:r>
      <w:r w:rsidR="0001142B" w:rsidRPr="00F63514">
        <w:t xml:space="preserve"> fakulty měřené vnitropodnikovým výkazem zisku a ztrát se proti roku </w:t>
      </w:r>
      <w:r w:rsidR="004C31C7" w:rsidRPr="00F63514">
        <w:t>201</w:t>
      </w:r>
      <w:r w:rsidR="00956D10">
        <w:t>2</w:t>
      </w:r>
      <w:r w:rsidR="0001142B" w:rsidRPr="00F63514">
        <w:t xml:space="preserve"> </w:t>
      </w:r>
      <w:r w:rsidR="00CA585E">
        <w:t>zvýšily</w:t>
      </w:r>
      <w:r w:rsidR="00B77EAF">
        <w:t xml:space="preserve"> </w:t>
      </w:r>
      <w:r w:rsidR="00B77EAF">
        <w:br/>
      </w:r>
      <w:r w:rsidR="004C31C7" w:rsidRPr="00F63514">
        <w:t>z </w:t>
      </w:r>
      <w:r w:rsidR="00956D10">
        <w:t>657 753</w:t>
      </w:r>
      <w:r w:rsidR="004C31C7" w:rsidRPr="00F63514">
        <w:t xml:space="preserve"> tis. Kč na </w:t>
      </w:r>
      <w:r w:rsidR="00956D10">
        <w:t>670 760</w:t>
      </w:r>
      <w:r w:rsidR="004C31C7" w:rsidRPr="00F63514">
        <w:t xml:space="preserve"> tis. Kč, tj. o </w:t>
      </w:r>
      <w:r w:rsidR="00956D10">
        <w:t>13 007</w:t>
      </w:r>
      <w:r w:rsidR="004C31C7" w:rsidRPr="00F63514">
        <w:t xml:space="preserve"> tis. Kč</w:t>
      </w:r>
      <w:r w:rsidR="00B77EAF" w:rsidRPr="00B77EAF">
        <w:t xml:space="preserve"> </w:t>
      </w:r>
      <w:r w:rsidR="00B77EAF">
        <w:t>(o 2 %</w:t>
      </w:r>
      <w:r w:rsidR="004C31C7" w:rsidRPr="00F63514">
        <w:t>).</w:t>
      </w:r>
      <w:r w:rsidR="00716F76" w:rsidRPr="00F63514">
        <w:t xml:space="preserve"> </w:t>
      </w:r>
      <w:r w:rsidR="00B77EAF">
        <w:t xml:space="preserve">Rozhodující bylo zvýšení výnosů z hlavní činnosti </w:t>
      </w:r>
      <w:r w:rsidR="00956D10">
        <w:t>z 652 552</w:t>
      </w:r>
      <w:r w:rsidR="00716F76" w:rsidRPr="00F63514">
        <w:t xml:space="preserve"> </w:t>
      </w:r>
      <w:r w:rsidR="00956D10">
        <w:t>tis. Kč na 657 606</w:t>
      </w:r>
      <w:r w:rsidR="004C31C7" w:rsidRPr="00F63514">
        <w:t xml:space="preserve"> tis. Kč</w:t>
      </w:r>
      <w:r w:rsidR="002050A8" w:rsidRPr="00F63514">
        <w:t xml:space="preserve"> (</w:t>
      </w:r>
      <w:r w:rsidR="003E6AE9">
        <w:t xml:space="preserve">zvýšení o </w:t>
      </w:r>
      <w:r w:rsidR="00956D10">
        <w:t>5 054</w:t>
      </w:r>
      <w:r w:rsidR="004C31C7" w:rsidRPr="00F63514">
        <w:t xml:space="preserve"> tis</w:t>
      </w:r>
      <w:r w:rsidR="002050A8" w:rsidRPr="00F63514">
        <w:t>. Kč</w:t>
      </w:r>
      <w:r w:rsidR="004C31C7" w:rsidRPr="00F63514">
        <w:t>)</w:t>
      </w:r>
      <w:r w:rsidR="00D275CB">
        <w:t>, neboť</w:t>
      </w:r>
      <w:r w:rsidR="002050A8" w:rsidRPr="00F63514">
        <w:t xml:space="preserve"> </w:t>
      </w:r>
      <w:r w:rsidR="00B77EAF">
        <w:t xml:space="preserve">výnosy z doplňkové činnosti zůstaly na úrovni minulého roku </w:t>
      </w:r>
      <w:r w:rsidR="00111AAC" w:rsidRPr="00F63514">
        <w:t>(</w:t>
      </w:r>
      <w:r w:rsidR="003E6AE9">
        <w:t>zvýšení</w:t>
      </w:r>
      <w:r w:rsidR="004C31C7" w:rsidRPr="00F63514">
        <w:t xml:space="preserve"> </w:t>
      </w:r>
      <w:r w:rsidR="00111AAC" w:rsidRPr="00F63514">
        <w:t xml:space="preserve">o </w:t>
      </w:r>
      <w:r w:rsidR="00B77EAF">
        <w:t>213</w:t>
      </w:r>
      <w:r w:rsidR="004C31C7" w:rsidRPr="00F63514">
        <w:t xml:space="preserve"> tis.</w:t>
      </w:r>
      <w:r w:rsidR="00111AAC" w:rsidRPr="00F63514">
        <w:t xml:space="preserve"> Kč)</w:t>
      </w:r>
      <w:r w:rsidR="00DD461B" w:rsidRPr="00F63514">
        <w:t>.</w:t>
      </w:r>
    </w:p>
    <w:p w:rsidR="00111AAC" w:rsidRPr="00F63514" w:rsidRDefault="00111AAC">
      <w:pPr>
        <w:pStyle w:val="Zkladntext"/>
      </w:pPr>
    </w:p>
    <w:p w:rsidR="00A117B1" w:rsidRPr="00F63514" w:rsidRDefault="00986185">
      <w:pPr>
        <w:pStyle w:val="Zkladntext"/>
      </w:pPr>
      <w:r>
        <w:t xml:space="preserve">Rovněž celkové náklady včetně vnitro-organizačních nákladů zůstaly téměř na úrovni minulého roku. </w:t>
      </w:r>
      <w:r w:rsidR="0086099A">
        <w:t>Zvýšení</w:t>
      </w:r>
      <w:r>
        <w:t xml:space="preserve"> o </w:t>
      </w:r>
      <w:r w:rsidR="0086099A">
        <w:t>1</w:t>
      </w:r>
      <w:r>
        <w:t>4 </w:t>
      </w:r>
      <w:r w:rsidR="0086099A">
        <w:t>084</w:t>
      </w:r>
      <w:r>
        <w:t xml:space="preserve"> tis. Kč představuje </w:t>
      </w:r>
      <w:r w:rsidR="0086099A">
        <w:t>nárůst o pouhé 2</w:t>
      </w:r>
      <w:r w:rsidR="00BF2D37">
        <w:t>,2</w:t>
      </w:r>
      <w:r w:rsidR="0086099A">
        <w:t xml:space="preserve"> %</w:t>
      </w:r>
      <w:r>
        <w:t xml:space="preserve">. Náklady v hlavní činnosti činily </w:t>
      </w:r>
      <w:r w:rsidR="0086099A">
        <w:t>662 047</w:t>
      </w:r>
      <w:r>
        <w:t xml:space="preserve"> tis. Kč a z doplňkové činnosti 3 </w:t>
      </w:r>
      <w:r w:rsidR="0086099A">
        <w:t>781</w:t>
      </w:r>
      <w:r>
        <w:t xml:space="preserve"> tis. Kč.</w:t>
      </w:r>
      <w:r w:rsidR="00727C0B" w:rsidRPr="00F63514">
        <w:t xml:space="preserve"> </w:t>
      </w:r>
    </w:p>
    <w:p w:rsidR="009838BD" w:rsidRPr="00F63514" w:rsidRDefault="009838BD" w:rsidP="009838BD">
      <w:pPr>
        <w:pStyle w:val="Zkladntext"/>
        <w:rPr>
          <w:b/>
          <w:bCs/>
        </w:rPr>
      </w:pPr>
    </w:p>
    <w:p w:rsidR="001C5101" w:rsidRPr="00F63514" w:rsidRDefault="00EA6F9C" w:rsidP="009838BD">
      <w:pPr>
        <w:pStyle w:val="Zkladntext"/>
        <w:rPr>
          <w:bCs/>
        </w:rPr>
      </w:pPr>
      <w:r w:rsidRPr="00F63514">
        <w:rPr>
          <w:bCs/>
        </w:rPr>
        <w:t xml:space="preserve">Vliv jednotlivých činností na hospodářský výsledek fakulty </w:t>
      </w:r>
      <w:r w:rsidR="0086099A">
        <w:rPr>
          <w:bCs/>
        </w:rPr>
        <w:t>a struktur</w:t>
      </w:r>
      <w:r w:rsidR="00A47E24">
        <w:rPr>
          <w:bCs/>
        </w:rPr>
        <w:t xml:space="preserve">a nákladů a výnosů </w:t>
      </w:r>
      <w:r w:rsidRPr="00F63514">
        <w:rPr>
          <w:bCs/>
        </w:rPr>
        <w:t>j</w:t>
      </w:r>
      <w:r w:rsidR="00A47E24">
        <w:rPr>
          <w:bCs/>
        </w:rPr>
        <w:t>sou</w:t>
      </w:r>
      <w:r w:rsidRPr="00F63514">
        <w:rPr>
          <w:bCs/>
        </w:rPr>
        <w:t xml:space="preserve"> uveden</w:t>
      </w:r>
      <w:r w:rsidR="00A47E24">
        <w:rPr>
          <w:bCs/>
        </w:rPr>
        <w:t>y</w:t>
      </w:r>
      <w:r w:rsidRPr="00F63514">
        <w:rPr>
          <w:bCs/>
        </w:rPr>
        <w:t xml:space="preserve"> v</w:t>
      </w:r>
      <w:r w:rsidR="00C0465B" w:rsidRPr="00F63514">
        <w:rPr>
          <w:bCs/>
        </w:rPr>
        <w:t> následujících odstavcích</w:t>
      </w:r>
      <w:r w:rsidRPr="00F63514">
        <w:rPr>
          <w:bCs/>
        </w:rPr>
        <w:t>.</w:t>
      </w:r>
    </w:p>
    <w:p w:rsidR="00611B0E" w:rsidRPr="00F63514" w:rsidRDefault="00611B0E" w:rsidP="009838BD">
      <w:pPr>
        <w:pStyle w:val="Zkladntext"/>
        <w:rPr>
          <w:b/>
          <w:bCs/>
        </w:rPr>
      </w:pPr>
    </w:p>
    <w:p w:rsidR="00D675D4" w:rsidRPr="00F63514" w:rsidRDefault="00D675D4" w:rsidP="009838BD">
      <w:pPr>
        <w:pStyle w:val="Zkladntext"/>
        <w:rPr>
          <w:b/>
          <w:bCs/>
        </w:rPr>
      </w:pPr>
    </w:p>
    <w:p w:rsidR="000A47AA" w:rsidRDefault="000A47AA">
      <w:pPr>
        <w:rPr>
          <w:b/>
          <w:spacing w:val="-3"/>
          <w:sz w:val="24"/>
        </w:rPr>
      </w:pPr>
      <w:r>
        <w:rPr>
          <w:b/>
        </w:rPr>
        <w:br w:type="page"/>
      </w:r>
    </w:p>
    <w:p w:rsidR="00674579" w:rsidRPr="00F63514" w:rsidRDefault="00517943" w:rsidP="0083621E">
      <w:pPr>
        <w:pStyle w:val="Zkladntext"/>
        <w:numPr>
          <w:ilvl w:val="0"/>
          <w:numId w:val="36"/>
        </w:numPr>
        <w:tabs>
          <w:tab w:val="clear" w:pos="0"/>
          <w:tab w:val="left" w:pos="851"/>
        </w:tabs>
        <w:ind w:left="0" w:firstLine="0"/>
        <w:rPr>
          <w:b/>
        </w:rPr>
      </w:pPr>
      <w:r w:rsidRPr="00F63514">
        <w:rPr>
          <w:b/>
        </w:rPr>
        <w:lastRenderedPageBreak/>
        <w:t>Analýza výnosů a nákladů</w:t>
      </w:r>
    </w:p>
    <w:p w:rsidR="00C72F05" w:rsidRPr="00F63514" w:rsidRDefault="00C72F05">
      <w:pPr>
        <w:pStyle w:val="Zkladntext"/>
      </w:pPr>
    </w:p>
    <w:p w:rsidR="00C72F05" w:rsidRPr="00F63514" w:rsidRDefault="00C72F05" w:rsidP="0083621E">
      <w:pPr>
        <w:numPr>
          <w:ilvl w:val="2"/>
          <w:numId w:val="36"/>
        </w:numPr>
        <w:spacing w:line="288" w:lineRule="auto"/>
        <w:ind w:left="851" w:hanging="851"/>
        <w:jc w:val="both"/>
        <w:rPr>
          <w:rFonts w:eastAsia="Arial"/>
          <w:b/>
          <w:bCs/>
          <w:sz w:val="24"/>
          <w:szCs w:val="24"/>
          <w:lang w:eastAsia="en-US"/>
        </w:rPr>
      </w:pPr>
      <w:r w:rsidRPr="00F63514">
        <w:rPr>
          <w:rFonts w:eastAsia="Arial"/>
          <w:b/>
          <w:bCs/>
          <w:sz w:val="24"/>
          <w:szCs w:val="24"/>
          <w:lang w:eastAsia="en-US"/>
        </w:rPr>
        <w:t>Role veřejných prostředků</w:t>
      </w:r>
    </w:p>
    <w:p w:rsidR="00C32CDD" w:rsidRPr="00F63514" w:rsidRDefault="00C32CDD" w:rsidP="00C72F05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</w:p>
    <w:p w:rsidR="00C32CDD" w:rsidRPr="00F63514" w:rsidRDefault="00C72F05" w:rsidP="00C72F05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F63514">
        <w:rPr>
          <w:rFonts w:eastAsia="Arial"/>
          <w:sz w:val="24"/>
          <w:szCs w:val="24"/>
          <w:lang w:eastAsia="en-US"/>
        </w:rPr>
        <w:t xml:space="preserve">Celková </w:t>
      </w:r>
      <w:r w:rsidR="00A47E24">
        <w:rPr>
          <w:rFonts w:eastAsia="Arial"/>
          <w:sz w:val="24"/>
          <w:szCs w:val="24"/>
          <w:lang w:eastAsia="en-US"/>
        </w:rPr>
        <w:t>hodnota</w:t>
      </w:r>
      <w:r w:rsidRPr="00F63514">
        <w:rPr>
          <w:rFonts w:eastAsia="Arial"/>
          <w:sz w:val="24"/>
          <w:szCs w:val="24"/>
          <w:lang w:eastAsia="en-US"/>
        </w:rPr>
        <w:t xml:space="preserve"> </w:t>
      </w:r>
      <w:r w:rsidR="005C1196">
        <w:rPr>
          <w:rFonts w:eastAsia="Arial"/>
          <w:sz w:val="24"/>
          <w:szCs w:val="24"/>
          <w:lang w:eastAsia="en-US"/>
        </w:rPr>
        <w:t xml:space="preserve">běžných </w:t>
      </w:r>
      <w:r w:rsidR="00C32CDD" w:rsidRPr="00F63514">
        <w:rPr>
          <w:rFonts w:eastAsia="Arial"/>
          <w:sz w:val="24"/>
          <w:szCs w:val="24"/>
          <w:lang w:eastAsia="en-US"/>
        </w:rPr>
        <w:t xml:space="preserve">prostředků poskytnutých </w:t>
      </w:r>
      <w:r w:rsidR="00A47E24">
        <w:rPr>
          <w:rFonts w:eastAsia="Arial"/>
          <w:sz w:val="24"/>
          <w:szCs w:val="24"/>
          <w:lang w:eastAsia="en-US"/>
        </w:rPr>
        <w:t xml:space="preserve">v roce 2013 </w:t>
      </w:r>
      <w:r w:rsidR="00C32CDD" w:rsidRPr="00F63514">
        <w:rPr>
          <w:rFonts w:eastAsia="Arial"/>
          <w:sz w:val="24"/>
          <w:szCs w:val="24"/>
          <w:lang w:eastAsia="en-US"/>
        </w:rPr>
        <w:t xml:space="preserve">z veřejných zdrojů </w:t>
      </w:r>
      <w:r w:rsidR="00A47E24">
        <w:rPr>
          <w:rFonts w:eastAsia="Arial"/>
          <w:sz w:val="24"/>
          <w:szCs w:val="24"/>
          <w:lang w:eastAsia="en-US"/>
        </w:rPr>
        <w:t>zůstala zhruba na úrovni roku 2012</w:t>
      </w:r>
      <w:r w:rsidR="004A1224">
        <w:rPr>
          <w:rFonts w:eastAsia="Arial"/>
          <w:sz w:val="24"/>
          <w:szCs w:val="24"/>
          <w:lang w:eastAsia="en-US"/>
        </w:rPr>
        <w:t xml:space="preserve"> a</w:t>
      </w:r>
      <w:r w:rsidR="00A47E24">
        <w:rPr>
          <w:rFonts w:eastAsia="Arial"/>
          <w:sz w:val="24"/>
          <w:szCs w:val="24"/>
          <w:lang w:eastAsia="en-US"/>
        </w:rPr>
        <w:t xml:space="preserve"> </w:t>
      </w:r>
      <w:r w:rsidR="001D7B9A" w:rsidRPr="00F63514">
        <w:rPr>
          <w:rFonts w:eastAsia="Arial"/>
          <w:sz w:val="24"/>
          <w:szCs w:val="24"/>
          <w:lang w:eastAsia="en-US"/>
        </w:rPr>
        <w:t xml:space="preserve">činila </w:t>
      </w:r>
      <w:r w:rsidR="00A47E24">
        <w:rPr>
          <w:rFonts w:eastAsia="Arial"/>
          <w:sz w:val="24"/>
          <w:szCs w:val="24"/>
          <w:lang w:eastAsia="en-US"/>
        </w:rPr>
        <w:t>533 726</w:t>
      </w:r>
      <w:r w:rsidR="001D7B9A">
        <w:rPr>
          <w:rFonts w:eastAsia="Arial"/>
          <w:sz w:val="24"/>
          <w:szCs w:val="24"/>
          <w:lang w:eastAsia="en-US"/>
        </w:rPr>
        <w:t xml:space="preserve"> </w:t>
      </w:r>
      <w:r w:rsidR="00C32CDD" w:rsidRPr="00F63514">
        <w:rPr>
          <w:rFonts w:eastAsia="Arial"/>
          <w:sz w:val="24"/>
          <w:szCs w:val="24"/>
          <w:lang w:eastAsia="en-US"/>
        </w:rPr>
        <w:t>tis. Kč</w:t>
      </w:r>
      <w:r w:rsidR="00A0002B">
        <w:rPr>
          <w:rFonts w:eastAsia="Arial"/>
          <w:sz w:val="24"/>
          <w:szCs w:val="24"/>
          <w:lang w:eastAsia="en-US"/>
        </w:rPr>
        <w:t xml:space="preserve"> </w:t>
      </w:r>
      <w:r w:rsidR="00932AC3">
        <w:rPr>
          <w:rFonts w:eastAsia="Arial"/>
          <w:sz w:val="24"/>
          <w:szCs w:val="24"/>
          <w:lang w:eastAsia="en-US"/>
        </w:rPr>
        <w:t>(detailní přehled veřejných zdrojů financování VVŠ v roce 2013 je uveden v tabulce 5). Přehled prostředků získaných v letech 2013 a 2012 je</w:t>
      </w:r>
      <w:r w:rsidR="004A1224">
        <w:rPr>
          <w:rFonts w:eastAsia="Arial"/>
          <w:sz w:val="24"/>
          <w:szCs w:val="24"/>
          <w:lang w:eastAsia="en-US"/>
        </w:rPr>
        <w:t xml:space="preserve"> uveden v následující tabulce:</w:t>
      </w:r>
    </w:p>
    <w:p w:rsidR="00A47E24" w:rsidRDefault="00A47E24" w:rsidP="00A47E24">
      <w:pPr>
        <w:rPr>
          <w:rFonts w:eastAsia="Arial"/>
          <w:sz w:val="24"/>
          <w:szCs w:val="24"/>
          <w:lang w:eastAsia="en-US"/>
        </w:rPr>
      </w:pPr>
    </w:p>
    <w:p w:rsidR="004A1224" w:rsidRPr="00F63514" w:rsidRDefault="004A1224" w:rsidP="004A1224">
      <w:pPr>
        <w:pStyle w:val="Zkladntext"/>
        <w:pBdr>
          <w:top w:val="single" w:sz="4" w:space="1" w:color="auto"/>
          <w:bottom w:val="single" w:sz="4" w:space="1" w:color="auto"/>
        </w:pBdr>
        <w:tabs>
          <w:tab w:val="right" w:pos="6840"/>
          <w:tab w:val="right" w:pos="8460"/>
        </w:tabs>
        <w:rPr>
          <w:b/>
        </w:rPr>
      </w:pPr>
      <w:r w:rsidRPr="004A1224">
        <w:t>v tis. Kč</w:t>
      </w:r>
      <w:r>
        <w:rPr>
          <w:b/>
        </w:rPr>
        <w:t xml:space="preserve"> </w:t>
      </w:r>
      <w:r w:rsidRPr="00F63514">
        <w:rPr>
          <w:b/>
        </w:rPr>
        <w:tab/>
        <w:t>201</w:t>
      </w:r>
      <w:r>
        <w:rPr>
          <w:b/>
        </w:rPr>
        <w:t>3</w:t>
      </w:r>
      <w:r w:rsidRPr="00F63514">
        <w:rPr>
          <w:b/>
        </w:rPr>
        <w:tab/>
        <w:t>201</w:t>
      </w:r>
      <w:r>
        <w:rPr>
          <w:b/>
        </w:rPr>
        <w:t>2</w:t>
      </w:r>
    </w:p>
    <w:p w:rsidR="004A1224" w:rsidRPr="00FC0543" w:rsidRDefault="004A1224" w:rsidP="004A1224">
      <w:pPr>
        <w:pStyle w:val="Zkladntext"/>
        <w:tabs>
          <w:tab w:val="right" w:pos="6840"/>
          <w:tab w:val="right" w:pos="8460"/>
        </w:tabs>
        <w:spacing w:line="240" w:lineRule="auto"/>
      </w:pPr>
      <w:r w:rsidRPr="00FC0543">
        <w:t xml:space="preserve">MŠMT celkem </w:t>
      </w:r>
      <w:r w:rsidRPr="00FC0543">
        <w:tab/>
        <w:t>474 140</w:t>
      </w:r>
      <w:r w:rsidRPr="00FC0543">
        <w:tab/>
        <w:t>475 044</w:t>
      </w:r>
    </w:p>
    <w:p w:rsidR="004A1224" w:rsidRPr="00FC0543" w:rsidRDefault="004A1224" w:rsidP="004A1224">
      <w:pPr>
        <w:pStyle w:val="Zkladntext"/>
        <w:tabs>
          <w:tab w:val="right" w:pos="6840"/>
          <w:tab w:val="right" w:pos="8460"/>
        </w:tabs>
        <w:spacing w:line="240" w:lineRule="auto"/>
      </w:pPr>
      <w:r w:rsidRPr="00FC0543">
        <w:t>Ostatní kapitoly státního rozpočtu</w:t>
      </w:r>
      <w:r w:rsidRPr="00FC0543">
        <w:tab/>
        <w:t>54 669</w:t>
      </w:r>
      <w:r w:rsidRPr="00FC0543">
        <w:tab/>
        <w:t>52 641</w:t>
      </w:r>
      <w:r w:rsidRPr="00FC0543">
        <w:tab/>
      </w:r>
    </w:p>
    <w:p w:rsidR="004A1224" w:rsidRPr="00FC0543" w:rsidRDefault="004A1224" w:rsidP="004A1224">
      <w:pPr>
        <w:pStyle w:val="Zkladntext"/>
        <w:tabs>
          <w:tab w:val="right" w:pos="6840"/>
          <w:tab w:val="right" w:pos="8460"/>
        </w:tabs>
        <w:spacing w:line="240" w:lineRule="auto"/>
      </w:pPr>
      <w:r w:rsidRPr="00FC0543">
        <w:t>Územní rozpočty</w:t>
      </w:r>
      <w:r w:rsidRPr="00FC0543">
        <w:tab/>
        <w:t xml:space="preserve">3 </w:t>
      </w:r>
      <w:r w:rsidR="001B3884">
        <w:t>39</w:t>
      </w:r>
      <w:r w:rsidRPr="00FC0543">
        <w:t>0</w:t>
      </w:r>
      <w:r w:rsidRPr="00FC0543">
        <w:tab/>
        <w:t>2 590</w:t>
      </w:r>
    </w:p>
    <w:p w:rsidR="004A1224" w:rsidRPr="00FC0543" w:rsidRDefault="007B0CAE" w:rsidP="004A1224">
      <w:pPr>
        <w:pStyle w:val="Zkladntext"/>
        <w:tabs>
          <w:tab w:val="right" w:pos="6840"/>
          <w:tab w:val="right" w:pos="8460"/>
        </w:tabs>
        <w:spacing w:line="240" w:lineRule="auto"/>
      </w:pPr>
      <w:r w:rsidRPr="00FC0543">
        <w:t>Prostředky ze zahraničí</w:t>
      </w:r>
      <w:r w:rsidR="004A1224" w:rsidRPr="00FC0543">
        <w:tab/>
        <w:t>1 897</w:t>
      </w:r>
      <w:r w:rsidR="004A1224" w:rsidRPr="00FC0543">
        <w:tab/>
        <w:t>4 065</w:t>
      </w:r>
    </w:p>
    <w:p w:rsidR="004A1224" w:rsidRPr="00FC0543" w:rsidRDefault="004A1224" w:rsidP="004A1224">
      <w:pPr>
        <w:pStyle w:val="Zkladntext"/>
        <w:pBdr>
          <w:top w:val="single" w:sz="4" w:space="1" w:color="auto"/>
          <w:bottom w:val="single" w:sz="4" w:space="1" w:color="auto"/>
        </w:pBdr>
        <w:tabs>
          <w:tab w:val="clear" w:pos="0"/>
          <w:tab w:val="right" w:pos="6840"/>
          <w:tab w:val="right" w:pos="8460"/>
        </w:tabs>
        <w:spacing w:line="240" w:lineRule="auto"/>
        <w:rPr>
          <w:b/>
        </w:rPr>
      </w:pPr>
      <w:r w:rsidRPr="00FC0543">
        <w:rPr>
          <w:b/>
        </w:rPr>
        <w:t>Celkem</w:t>
      </w:r>
      <w:r w:rsidRPr="00FC0543">
        <w:rPr>
          <w:b/>
        </w:rPr>
        <w:tab/>
        <w:t>53</w:t>
      </w:r>
      <w:r w:rsidR="001B3884">
        <w:rPr>
          <w:b/>
        </w:rPr>
        <w:t>4</w:t>
      </w:r>
      <w:r w:rsidRPr="00FC0543">
        <w:rPr>
          <w:b/>
        </w:rPr>
        <w:t xml:space="preserve"> </w:t>
      </w:r>
      <w:r w:rsidR="001B3884">
        <w:rPr>
          <w:b/>
        </w:rPr>
        <w:t>09</w:t>
      </w:r>
      <w:r w:rsidRPr="00FC0543">
        <w:rPr>
          <w:b/>
        </w:rPr>
        <w:t>6</w:t>
      </w:r>
      <w:r w:rsidRPr="00FC0543">
        <w:rPr>
          <w:b/>
        </w:rPr>
        <w:tab/>
        <w:t>534 340</w:t>
      </w:r>
    </w:p>
    <w:p w:rsidR="004A1224" w:rsidRPr="00B06B42" w:rsidRDefault="004A1224" w:rsidP="00A47E24">
      <w:pPr>
        <w:rPr>
          <w:rFonts w:eastAsia="Arial"/>
          <w:sz w:val="24"/>
          <w:szCs w:val="24"/>
          <w:highlight w:val="yellow"/>
          <w:lang w:eastAsia="en-US"/>
        </w:rPr>
      </w:pPr>
    </w:p>
    <w:p w:rsidR="00A47E24" w:rsidRPr="00B06B42" w:rsidRDefault="00A47E24" w:rsidP="00A47E24">
      <w:pPr>
        <w:rPr>
          <w:rFonts w:eastAsia="Arial"/>
          <w:sz w:val="24"/>
          <w:szCs w:val="24"/>
          <w:highlight w:val="yellow"/>
          <w:lang w:eastAsia="en-US"/>
        </w:rPr>
      </w:pPr>
    </w:p>
    <w:p w:rsidR="00C32CDD" w:rsidRPr="00FC0543" w:rsidRDefault="00D822C2" w:rsidP="00A47E24">
      <w:pPr>
        <w:rPr>
          <w:rFonts w:eastAsia="Arial"/>
          <w:sz w:val="24"/>
          <w:szCs w:val="24"/>
          <w:lang w:eastAsia="en-US"/>
        </w:rPr>
      </w:pPr>
      <w:r w:rsidRPr="00FC0543">
        <w:rPr>
          <w:rFonts w:eastAsia="Arial"/>
          <w:sz w:val="24"/>
          <w:szCs w:val="24"/>
          <w:lang w:eastAsia="en-US"/>
        </w:rPr>
        <w:t xml:space="preserve">Vliv </w:t>
      </w:r>
      <w:r w:rsidR="00365137" w:rsidRPr="00FC0543">
        <w:rPr>
          <w:rFonts w:eastAsia="Arial"/>
          <w:sz w:val="24"/>
          <w:szCs w:val="24"/>
          <w:lang w:eastAsia="en-US"/>
        </w:rPr>
        <w:t xml:space="preserve">meziroční změny </w:t>
      </w:r>
      <w:r w:rsidRPr="00FC0543">
        <w:rPr>
          <w:rFonts w:eastAsia="Arial"/>
          <w:sz w:val="24"/>
          <w:szCs w:val="24"/>
          <w:lang w:eastAsia="en-US"/>
        </w:rPr>
        <w:t>jednotlivých zdrojů je vyjádřen v následující tabulce</w:t>
      </w:r>
      <w:r w:rsidR="00365137" w:rsidRPr="00FC0543">
        <w:rPr>
          <w:rFonts w:eastAsia="Arial"/>
          <w:sz w:val="24"/>
          <w:szCs w:val="24"/>
          <w:lang w:eastAsia="en-US"/>
        </w:rPr>
        <w:t xml:space="preserve"> (rok 201</w:t>
      </w:r>
      <w:r w:rsidR="00A47E24" w:rsidRPr="00FC0543">
        <w:rPr>
          <w:rFonts w:eastAsia="Arial"/>
          <w:sz w:val="24"/>
          <w:szCs w:val="24"/>
          <w:lang w:eastAsia="en-US"/>
        </w:rPr>
        <w:t>3</w:t>
      </w:r>
      <w:r w:rsidR="00365137" w:rsidRPr="00FC0543">
        <w:rPr>
          <w:rFonts w:eastAsia="Arial"/>
          <w:sz w:val="24"/>
          <w:szCs w:val="24"/>
          <w:lang w:eastAsia="en-US"/>
        </w:rPr>
        <w:t xml:space="preserve"> minus rok 201</w:t>
      </w:r>
      <w:r w:rsidR="00A47E24" w:rsidRPr="00FC0543">
        <w:rPr>
          <w:rFonts w:eastAsia="Arial"/>
          <w:sz w:val="24"/>
          <w:szCs w:val="24"/>
          <w:lang w:eastAsia="en-US"/>
        </w:rPr>
        <w:t>2</w:t>
      </w:r>
      <w:r w:rsidR="00365137" w:rsidRPr="00FC0543">
        <w:rPr>
          <w:rFonts w:eastAsia="Arial"/>
          <w:sz w:val="24"/>
          <w:szCs w:val="24"/>
          <w:lang w:eastAsia="en-US"/>
        </w:rPr>
        <w:t>)</w:t>
      </w:r>
      <w:r w:rsidRPr="00FC0543">
        <w:rPr>
          <w:rFonts w:eastAsia="Arial"/>
          <w:sz w:val="24"/>
          <w:szCs w:val="24"/>
          <w:lang w:eastAsia="en-US"/>
        </w:rPr>
        <w:t>:</w:t>
      </w:r>
    </w:p>
    <w:p w:rsidR="00D822C2" w:rsidRPr="00FC0543" w:rsidRDefault="00D822C2" w:rsidP="00C72F05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</w:p>
    <w:p w:rsidR="00A25A97" w:rsidRPr="00FC0543" w:rsidRDefault="00D822C2" w:rsidP="00D822C2">
      <w:pPr>
        <w:pBdr>
          <w:bottom w:val="single" w:sz="4" w:space="1" w:color="auto"/>
        </w:pBdr>
        <w:tabs>
          <w:tab w:val="right" w:pos="4253"/>
          <w:tab w:val="right" w:pos="6521"/>
          <w:tab w:val="right" w:pos="8789"/>
        </w:tabs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FC0543">
        <w:rPr>
          <w:rFonts w:eastAsia="Arial"/>
          <w:sz w:val="24"/>
          <w:szCs w:val="24"/>
          <w:lang w:eastAsia="en-US"/>
        </w:rPr>
        <w:tab/>
        <w:t>vzdělávání</w:t>
      </w:r>
      <w:r w:rsidRPr="00FC0543">
        <w:rPr>
          <w:rFonts w:eastAsia="Arial"/>
          <w:sz w:val="24"/>
          <w:szCs w:val="24"/>
          <w:lang w:eastAsia="en-US"/>
        </w:rPr>
        <w:tab/>
        <w:t>věda a výzkum</w:t>
      </w:r>
      <w:r w:rsidRPr="00FC0543">
        <w:rPr>
          <w:rFonts w:eastAsia="Arial"/>
          <w:sz w:val="24"/>
          <w:szCs w:val="24"/>
          <w:lang w:eastAsia="en-US"/>
        </w:rPr>
        <w:tab/>
        <w:t>ostatní</w:t>
      </w:r>
    </w:p>
    <w:p w:rsidR="00D822C2" w:rsidRPr="00FC0543" w:rsidRDefault="00D822C2" w:rsidP="00D822C2">
      <w:pPr>
        <w:tabs>
          <w:tab w:val="right" w:pos="4253"/>
          <w:tab w:val="right" w:pos="6521"/>
          <w:tab w:val="right" w:pos="8789"/>
        </w:tabs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FC0543">
        <w:rPr>
          <w:rFonts w:eastAsia="Arial"/>
          <w:sz w:val="24"/>
          <w:szCs w:val="24"/>
          <w:lang w:eastAsia="en-US"/>
        </w:rPr>
        <w:t>MŠMT</w:t>
      </w:r>
      <w:r w:rsidRPr="00FC0543">
        <w:rPr>
          <w:rFonts w:eastAsia="Arial"/>
          <w:sz w:val="24"/>
          <w:szCs w:val="24"/>
          <w:lang w:eastAsia="en-US"/>
        </w:rPr>
        <w:tab/>
      </w:r>
      <w:r w:rsidR="000A56E6" w:rsidRPr="00FC0543">
        <w:rPr>
          <w:rFonts w:eastAsia="Arial"/>
          <w:sz w:val="24"/>
          <w:szCs w:val="24"/>
          <w:lang w:eastAsia="en-US"/>
        </w:rPr>
        <w:t xml:space="preserve">- </w:t>
      </w:r>
      <w:r w:rsidR="00B2726D">
        <w:rPr>
          <w:rFonts w:eastAsia="Arial"/>
          <w:sz w:val="24"/>
          <w:szCs w:val="24"/>
          <w:lang w:eastAsia="en-US"/>
        </w:rPr>
        <w:t>18 3</w:t>
      </w:r>
      <w:r w:rsidR="0097333A">
        <w:rPr>
          <w:rFonts w:eastAsia="Arial"/>
          <w:sz w:val="24"/>
          <w:szCs w:val="24"/>
          <w:lang w:eastAsia="en-US"/>
        </w:rPr>
        <w:t>11</w:t>
      </w:r>
      <w:r w:rsidRPr="00FC0543">
        <w:rPr>
          <w:rFonts w:eastAsia="Arial"/>
          <w:sz w:val="24"/>
          <w:szCs w:val="24"/>
          <w:lang w:eastAsia="en-US"/>
        </w:rPr>
        <w:tab/>
      </w:r>
      <w:r w:rsidR="000A56E6" w:rsidRPr="00FC0543">
        <w:rPr>
          <w:rFonts w:eastAsia="Arial"/>
          <w:sz w:val="24"/>
          <w:szCs w:val="24"/>
          <w:lang w:eastAsia="en-US"/>
        </w:rPr>
        <w:t>17 40</w:t>
      </w:r>
      <w:r w:rsidR="0097333A">
        <w:rPr>
          <w:rFonts w:eastAsia="Arial"/>
          <w:sz w:val="24"/>
          <w:szCs w:val="24"/>
          <w:lang w:eastAsia="en-US"/>
        </w:rPr>
        <w:t>7</w:t>
      </w:r>
      <w:r w:rsidRPr="00FC0543">
        <w:rPr>
          <w:rFonts w:eastAsia="Arial"/>
          <w:sz w:val="24"/>
          <w:szCs w:val="24"/>
          <w:lang w:eastAsia="en-US"/>
        </w:rPr>
        <w:tab/>
      </w:r>
      <w:r w:rsidR="007B0CAE" w:rsidRPr="00FC0543">
        <w:rPr>
          <w:rFonts w:eastAsia="Arial"/>
          <w:sz w:val="24"/>
          <w:szCs w:val="24"/>
          <w:lang w:eastAsia="en-US"/>
        </w:rPr>
        <w:t>0</w:t>
      </w:r>
    </w:p>
    <w:p w:rsidR="007B0CAE" w:rsidRPr="00FC0543" w:rsidRDefault="00D822C2" w:rsidP="00D822C2">
      <w:pPr>
        <w:tabs>
          <w:tab w:val="right" w:pos="4253"/>
          <w:tab w:val="right" w:pos="6521"/>
          <w:tab w:val="right" w:pos="8789"/>
        </w:tabs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FC0543">
        <w:rPr>
          <w:rFonts w:eastAsia="Arial"/>
          <w:sz w:val="24"/>
          <w:szCs w:val="24"/>
          <w:lang w:eastAsia="en-US"/>
        </w:rPr>
        <w:t>ostatní kapitoly SR</w:t>
      </w:r>
      <w:r w:rsidRPr="00FC0543">
        <w:rPr>
          <w:rFonts w:eastAsia="Arial"/>
          <w:sz w:val="24"/>
          <w:szCs w:val="24"/>
          <w:lang w:eastAsia="en-US"/>
        </w:rPr>
        <w:tab/>
      </w:r>
      <w:r w:rsidR="000A56E6" w:rsidRPr="00FC0543">
        <w:rPr>
          <w:rFonts w:eastAsia="Arial"/>
          <w:sz w:val="24"/>
          <w:szCs w:val="24"/>
          <w:lang w:eastAsia="en-US"/>
        </w:rPr>
        <w:t>262</w:t>
      </w:r>
      <w:r w:rsidRPr="00FC0543">
        <w:rPr>
          <w:rFonts w:eastAsia="Arial"/>
          <w:sz w:val="24"/>
          <w:szCs w:val="24"/>
          <w:lang w:eastAsia="en-US"/>
        </w:rPr>
        <w:tab/>
      </w:r>
      <w:r w:rsidR="000A56E6" w:rsidRPr="00FC0543">
        <w:rPr>
          <w:rFonts w:eastAsia="Arial"/>
          <w:sz w:val="24"/>
          <w:szCs w:val="24"/>
          <w:lang w:eastAsia="en-US"/>
        </w:rPr>
        <w:t>2 098</w:t>
      </w:r>
      <w:r w:rsidRPr="00FC0543">
        <w:rPr>
          <w:rFonts w:eastAsia="Arial"/>
          <w:sz w:val="24"/>
          <w:szCs w:val="24"/>
          <w:lang w:eastAsia="en-US"/>
        </w:rPr>
        <w:tab/>
      </w:r>
      <w:r w:rsidR="007B0CAE" w:rsidRPr="00FC0543">
        <w:rPr>
          <w:rFonts w:eastAsia="Arial"/>
          <w:sz w:val="24"/>
          <w:szCs w:val="24"/>
          <w:lang w:eastAsia="en-US"/>
        </w:rPr>
        <w:t>- 332</w:t>
      </w:r>
    </w:p>
    <w:p w:rsidR="000A56E6" w:rsidRDefault="000A56E6" w:rsidP="00D822C2">
      <w:pPr>
        <w:pBdr>
          <w:bottom w:val="single" w:sz="4" w:space="1" w:color="auto"/>
        </w:pBdr>
        <w:tabs>
          <w:tab w:val="right" w:pos="4253"/>
          <w:tab w:val="right" w:pos="6521"/>
          <w:tab w:val="right" w:pos="8789"/>
        </w:tabs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FC0543">
        <w:rPr>
          <w:rFonts w:eastAsia="Arial"/>
          <w:sz w:val="24"/>
          <w:szCs w:val="24"/>
          <w:lang w:eastAsia="en-US"/>
        </w:rPr>
        <w:t>zahraniční celkem</w:t>
      </w:r>
      <w:r w:rsidR="00D822C2" w:rsidRPr="00FC0543">
        <w:rPr>
          <w:rFonts w:eastAsia="Arial"/>
          <w:sz w:val="24"/>
          <w:szCs w:val="24"/>
          <w:lang w:eastAsia="en-US"/>
        </w:rPr>
        <w:tab/>
      </w:r>
      <w:r w:rsidRPr="00FC0543">
        <w:rPr>
          <w:rFonts w:eastAsia="Arial"/>
          <w:sz w:val="24"/>
          <w:szCs w:val="24"/>
          <w:lang w:eastAsia="en-US"/>
        </w:rPr>
        <w:t>- 2 475</w:t>
      </w:r>
      <w:r w:rsidRPr="00FC0543">
        <w:rPr>
          <w:rFonts w:eastAsia="Arial"/>
          <w:sz w:val="24"/>
          <w:szCs w:val="24"/>
          <w:lang w:eastAsia="en-US"/>
        </w:rPr>
        <w:tab/>
      </w:r>
      <w:r w:rsidR="00B2726D">
        <w:rPr>
          <w:rFonts w:eastAsia="Arial"/>
          <w:sz w:val="24"/>
          <w:szCs w:val="24"/>
          <w:lang w:eastAsia="en-US"/>
        </w:rPr>
        <w:t>307</w:t>
      </w:r>
      <w:r w:rsidR="007B0CAE" w:rsidRPr="00FC0543">
        <w:rPr>
          <w:rFonts w:eastAsia="Arial"/>
          <w:sz w:val="24"/>
          <w:szCs w:val="24"/>
          <w:lang w:eastAsia="en-US"/>
        </w:rPr>
        <w:tab/>
      </w:r>
      <w:r w:rsidR="00B2726D">
        <w:rPr>
          <w:rFonts w:eastAsia="Arial"/>
          <w:sz w:val="24"/>
          <w:szCs w:val="24"/>
          <w:lang w:eastAsia="en-US"/>
        </w:rPr>
        <w:t>0</w:t>
      </w:r>
    </w:p>
    <w:p w:rsidR="00B2726D" w:rsidRPr="00FC0543" w:rsidRDefault="00B2726D" w:rsidP="00D822C2">
      <w:pPr>
        <w:pBdr>
          <w:bottom w:val="single" w:sz="4" w:space="1" w:color="auto"/>
        </w:pBdr>
        <w:tabs>
          <w:tab w:val="right" w:pos="4253"/>
          <w:tab w:val="right" w:pos="6521"/>
          <w:tab w:val="right" w:pos="8789"/>
        </w:tabs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>
        <w:rPr>
          <w:rFonts w:eastAsia="Arial"/>
          <w:sz w:val="24"/>
          <w:szCs w:val="24"/>
          <w:lang w:eastAsia="en-US"/>
        </w:rPr>
        <w:t>územní rozpočty</w:t>
      </w:r>
      <w:r>
        <w:rPr>
          <w:rFonts w:eastAsia="Arial"/>
          <w:sz w:val="24"/>
          <w:szCs w:val="24"/>
          <w:lang w:eastAsia="en-US"/>
        </w:rPr>
        <w:tab/>
      </w:r>
      <w:r w:rsidR="006623A1">
        <w:rPr>
          <w:rFonts w:eastAsia="Arial"/>
          <w:sz w:val="24"/>
          <w:szCs w:val="24"/>
          <w:lang w:eastAsia="en-US"/>
        </w:rPr>
        <w:t>37</w:t>
      </w:r>
      <w:r>
        <w:rPr>
          <w:rFonts w:eastAsia="Arial"/>
          <w:sz w:val="24"/>
          <w:szCs w:val="24"/>
          <w:lang w:eastAsia="en-US"/>
        </w:rPr>
        <w:t>0</w:t>
      </w:r>
      <w:r>
        <w:rPr>
          <w:rFonts w:eastAsia="Arial"/>
          <w:sz w:val="24"/>
          <w:szCs w:val="24"/>
          <w:lang w:eastAsia="en-US"/>
        </w:rPr>
        <w:tab/>
        <w:t>0</w:t>
      </w:r>
      <w:r>
        <w:rPr>
          <w:rFonts w:eastAsia="Arial"/>
          <w:sz w:val="24"/>
          <w:szCs w:val="24"/>
          <w:lang w:eastAsia="en-US"/>
        </w:rPr>
        <w:tab/>
        <w:t>430</w:t>
      </w:r>
    </w:p>
    <w:p w:rsidR="00D822C2" w:rsidRDefault="00D822C2" w:rsidP="00D822C2">
      <w:pPr>
        <w:tabs>
          <w:tab w:val="right" w:pos="4253"/>
          <w:tab w:val="right" w:pos="6521"/>
          <w:tab w:val="right" w:pos="8789"/>
        </w:tabs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FC0543">
        <w:rPr>
          <w:rFonts w:eastAsia="Arial"/>
          <w:sz w:val="24"/>
          <w:szCs w:val="24"/>
          <w:lang w:eastAsia="en-US"/>
        </w:rPr>
        <w:t>celkem</w:t>
      </w:r>
      <w:r w:rsidRPr="00FC0543">
        <w:rPr>
          <w:rFonts w:eastAsia="Arial"/>
          <w:sz w:val="24"/>
          <w:szCs w:val="24"/>
          <w:lang w:eastAsia="en-US"/>
        </w:rPr>
        <w:tab/>
      </w:r>
      <w:r w:rsidR="000A56E6" w:rsidRPr="00FC0543">
        <w:rPr>
          <w:rFonts w:eastAsia="Arial"/>
          <w:sz w:val="24"/>
          <w:szCs w:val="24"/>
          <w:lang w:eastAsia="en-US"/>
        </w:rPr>
        <w:t xml:space="preserve">- 20 </w:t>
      </w:r>
      <w:r w:rsidR="006623A1">
        <w:rPr>
          <w:rFonts w:eastAsia="Arial"/>
          <w:sz w:val="24"/>
          <w:szCs w:val="24"/>
          <w:lang w:eastAsia="en-US"/>
        </w:rPr>
        <w:t>154</w:t>
      </w:r>
      <w:r w:rsidRPr="00FC0543">
        <w:rPr>
          <w:rFonts w:eastAsia="Arial"/>
          <w:sz w:val="24"/>
          <w:szCs w:val="24"/>
          <w:lang w:eastAsia="en-US"/>
        </w:rPr>
        <w:tab/>
      </w:r>
      <w:r w:rsidR="00B2726D">
        <w:rPr>
          <w:rFonts w:eastAsia="Arial"/>
          <w:sz w:val="24"/>
          <w:szCs w:val="24"/>
          <w:lang w:eastAsia="en-US"/>
        </w:rPr>
        <w:t>19 81</w:t>
      </w:r>
      <w:r w:rsidR="0097333A">
        <w:rPr>
          <w:rFonts w:eastAsia="Arial"/>
          <w:sz w:val="24"/>
          <w:szCs w:val="24"/>
          <w:lang w:eastAsia="en-US"/>
        </w:rPr>
        <w:t>2</w:t>
      </w:r>
      <w:r w:rsidRPr="00FC0543">
        <w:rPr>
          <w:rFonts w:eastAsia="Arial"/>
          <w:sz w:val="24"/>
          <w:szCs w:val="24"/>
          <w:lang w:eastAsia="en-US"/>
        </w:rPr>
        <w:tab/>
      </w:r>
      <w:r w:rsidR="00B2726D">
        <w:rPr>
          <w:rFonts w:eastAsia="Arial"/>
          <w:sz w:val="24"/>
          <w:szCs w:val="24"/>
          <w:lang w:eastAsia="en-US"/>
        </w:rPr>
        <w:t>98</w:t>
      </w:r>
    </w:p>
    <w:p w:rsidR="00D822C2" w:rsidRDefault="00D822C2" w:rsidP="00D822C2">
      <w:pPr>
        <w:tabs>
          <w:tab w:val="right" w:pos="4253"/>
          <w:tab w:val="right" w:pos="6521"/>
          <w:tab w:val="right" w:pos="8789"/>
        </w:tabs>
        <w:spacing w:line="288" w:lineRule="auto"/>
        <w:jc w:val="both"/>
        <w:rPr>
          <w:rFonts w:eastAsia="Arial"/>
          <w:sz w:val="24"/>
          <w:szCs w:val="24"/>
          <w:lang w:eastAsia="en-US"/>
        </w:rPr>
      </w:pPr>
    </w:p>
    <w:p w:rsidR="00FF0D20" w:rsidRDefault="00FC0543" w:rsidP="00C72F05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>
        <w:rPr>
          <w:rFonts w:eastAsia="Arial"/>
          <w:sz w:val="24"/>
          <w:szCs w:val="24"/>
          <w:lang w:eastAsia="en-US"/>
        </w:rPr>
        <w:t>Proti roku 2012 došlo v</w:t>
      </w:r>
      <w:r w:rsidR="00C72F05" w:rsidRPr="00F63514">
        <w:rPr>
          <w:rFonts w:eastAsia="Arial"/>
          <w:sz w:val="24"/>
          <w:szCs w:val="24"/>
          <w:lang w:eastAsia="en-US"/>
        </w:rPr>
        <w:t xml:space="preserve"> oblasti vzdělávací, vědecké, výzkumné, vývojové a inovační, umělecké a další tvůrčí činnosti </w:t>
      </w:r>
      <w:r>
        <w:rPr>
          <w:rFonts w:eastAsia="Arial"/>
          <w:sz w:val="24"/>
          <w:szCs w:val="24"/>
          <w:lang w:eastAsia="en-US"/>
        </w:rPr>
        <w:t>ke snížení celkové hodnoty příspěvku a dotací o 20 </w:t>
      </w:r>
      <w:r w:rsidR="006623A1">
        <w:rPr>
          <w:rFonts w:eastAsia="Arial"/>
          <w:sz w:val="24"/>
          <w:szCs w:val="24"/>
          <w:lang w:eastAsia="en-US"/>
        </w:rPr>
        <w:t>15</w:t>
      </w:r>
      <w:r w:rsidR="00D275CB">
        <w:rPr>
          <w:rFonts w:eastAsia="Arial"/>
          <w:sz w:val="24"/>
          <w:szCs w:val="24"/>
          <w:lang w:eastAsia="en-US"/>
        </w:rPr>
        <w:t>4</w:t>
      </w:r>
      <w:r>
        <w:rPr>
          <w:rFonts w:eastAsia="Arial"/>
          <w:sz w:val="24"/>
          <w:szCs w:val="24"/>
          <w:lang w:eastAsia="en-US"/>
        </w:rPr>
        <w:t xml:space="preserve"> tis. Kč.</w:t>
      </w:r>
      <w:r w:rsidR="00C72F05" w:rsidRPr="00F63514">
        <w:rPr>
          <w:rFonts w:eastAsia="Arial"/>
          <w:sz w:val="24"/>
          <w:szCs w:val="24"/>
          <w:lang w:eastAsia="en-US"/>
        </w:rPr>
        <w:t xml:space="preserve"> </w:t>
      </w:r>
      <w:r w:rsidR="00E55CC5">
        <w:rPr>
          <w:rFonts w:eastAsia="Arial"/>
          <w:sz w:val="24"/>
          <w:szCs w:val="24"/>
          <w:lang w:eastAsia="en-US"/>
        </w:rPr>
        <w:t xml:space="preserve">Ke snížení došlo zejména vlivem poklesu finančních prostředků od MŠMT, ale zároveň se snížily i příjmy ze zahraničí. </w:t>
      </w:r>
      <w:r w:rsidR="00B06B42">
        <w:rPr>
          <w:rFonts w:eastAsia="Arial"/>
          <w:sz w:val="24"/>
          <w:szCs w:val="24"/>
          <w:lang w:eastAsia="en-US"/>
        </w:rPr>
        <w:t xml:space="preserve">Podrobná struktura </w:t>
      </w:r>
      <w:r w:rsidR="00A0002B">
        <w:rPr>
          <w:rFonts w:eastAsia="Arial"/>
          <w:sz w:val="24"/>
          <w:szCs w:val="24"/>
          <w:lang w:eastAsia="en-US"/>
        </w:rPr>
        <w:t xml:space="preserve">poskytnutých a použitých prostředků podle jejich charakteru a typu poskytovatelů je uvedena v tabulce 5 </w:t>
      </w:r>
      <w:r w:rsidR="00C54C83">
        <w:rPr>
          <w:rFonts w:eastAsia="Arial"/>
          <w:sz w:val="24"/>
          <w:szCs w:val="24"/>
          <w:lang w:eastAsia="en-US"/>
        </w:rPr>
        <w:t>a</w:t>
      </w:r>
      <w:r w:rsidR="005C7BAF">
        <w:rPr>
          <w:rFonts w:eastAsia="Arial"/>
          <w:sz w:val="24"/>
          <w:szCs w:val="24"/>
          <w:lang w:eastAsia="en-US"/>
        </w:rPr>
        <w:t>).</w:t>
      </w:r>
      <w:r w:rsidR="00A0002B">
        <w:rPr>
          <w:rFonts w:eastAsia="Arial"/>
          <w:sz w:val="24"/>
          <w:szCs w:val="24"/>
          <w:lang w:eastAsia="en-US"/>
        </w:rPr>
        <w:t xml:space="preserve"> </w:t>
      </w:r>
    </w:p>
    <w:p w:rsidR="00A0002B" w:rsidRDefault="00A0002B" w:rsidP="00C72F05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</w:p>
    <w:p w:rsidR="0004281F" w:rsidRDefault="00F571EA" w:rsidP="005C1196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E55CC5">
        <w:rPr>
          <w:rFonts w:eastAsia="Arial"/>
          <w:sz w:val="24"/>
          <w:szCs w:val="24"/>
          <w:lang w:eastAsia="en-US"/>
        </w:rPr>
        <w:t xml:space="preserve">V oblasti výzkumu a vývoje </w:t>
      </w:r>
      <w:r w:rsidR="005C1196" w:rsidRPr="00E55CC5">
        <w:rPr>
          <w:rFonts w:eastAsia="Arial"/>
          <w:sz w:val="24"/>
          <w:szCs w:val="24"/>
          <w:lang w:eastAsia="en-US"/>
        </w:rPr>
        <w:t>pokračovala</w:t>
      </w:r>
      <w:r w:rsidRPr="00E55CC5">
        <w:rPr>
          <w:rFonts w:eastAsia="Arial"/>
          <w:sz w:val="24"/>
          <w:szCs w:val="24"/>
          <w:lang w:eastAsia="en-US"/>
        </w:rPr>
        <w:t xml:space="preserve"> fakulta </w:t>
      </w:r>
      <w:r w:rsidR="005C1196" w:rsidRPr="00E55CC5">
        <w:rPr>
          <w:rFonts w:eastAsia="Arial"/>
          <w:sz w:val="24"/>
          <w:szCs w:val="24"/>
          <w:lang w:eastAsia="en-US"/>
        </w:rPr>
        <w:t xml:space="preserve">v hledání </w:t>
      </w:r>
      <w:r w:rsidRPr="00E55CC5">
        <w:rPr>
          <w:rFonts w:eastAsia="Arial"/>
          <w:sz w:val="24"/>
          <w:szCs w:val="24"/>
          <w:lang w:eastAsia="en-US"/>
        </w:rPr>
        <w:t>nov</w:t>
      </w:r>
      <w:r w:rsidR="005C1196" w:rsidRPr="00E55CC5">
        <w:rPr>
          <w:rFonts w:eastAsia="Arial"/>
          <w:sz w:val="24"/>
          <w:szCs w:val="24"/>
          <w:lang w:eastAsia="en-US"/>
        </w:rPr>
        <w:t>ých zdrojů.</w:t>
      </w:r>
      <w:r w:rsidRPr="00E55CC5">
        <w:rPr>
          <w:rFonts w:eastAsia="Arial"/>
          <w:sz w:val="24"/>
          <w:szCs w:val="24"/>
          <w:lang w:eastAsia="en-US"/>
        </w:rPr>
        <w:t xml:space="preserve"> </w:t>
      </w:r>
      <w:r w:rsidR="005C1196" w:rsidRPr="00E55CC5">
        <w:rPr>
          <w:rFonts w:eastAsia="Arial"/>
          <w:sz w:val="24"/>
          <w:szCs w:val="24"/>
          <w:lang w:eastAsia="en-US"/>
        </w:rPr>
        <w:t>Celkový objem prostředků na financování vědy a výzkumu vzrostl proti roku 201</w:t>
      </w:r>
      <w:r w:rsidR="00FC0543" w:rsidRPr="00E55CC5">
        <w:rPr>
          <w:rFonts w:eastAsia="Arial"/>
          <w:sz w:val="24"/>
          <w:szCs w:val="24"/>
          <w:lang w:eastAsia="en-US"/>
        </w:rPr>
        <w:t>2</w:t>
      </w:r>
      <w:r w:rsidR="005C1196" w:rsidRPr="00E55CC5">
        <w:rPr>
          <w:rFonts w:eastAsia="Arial"/>
          <w:sz w:val="24"/>
          <w:szCs w:val="24"/>
          <w:lang w:eastAsia="en-US"/>
        </w:rPr>
        <w:t xml:space="preserve"> o </w:t>
      </w:r>
      <w:r w:rsidR="00D275CB">
        <w:rPr>
          <w:rFonts w:eastAsia="Arial"/>
          <w:sz w:val="24"/>
          <w:szCs w:val="24"/>
          <w:lang w:eastAsia="en-US"/>
        </w:rPr>
        <w:t>19 813</w:t>
      </w:r>
      <w:r w:rsidR="005C1196" w:rsidRPr="00E55CC5">
        <w:rPr>
          <w:rFonts w:eastAsia="Arial"/>
          <w:sz w:val="24"/>
          <w:szCs w:val="24"/>
          <w:lang w:eastAsia="en-US"/>
        </w:rPr>
        <w:t xml:space="preserve"> tis. Kč</w:t>
      </w:r>
      <w:r w:rsidR="008B6256">
        <w:rPr>
          <w:rFonts w:eastAsia="Arial"/>
          <w:sz w:val="24"/>
          <w:szCs w:val="24"/>
          <w:lang w:eastAsia="en-US"/>
        </w:rPr>
        <w:t>.</w:t>
      </w:r>
      <w:r w:rsidR="003A16CB" w:rsidRPr="00E55CC5">
        <w:rPr>
          <w:rFonts w:eastAsia="Arial"/>
          <w:sz w:val="24"/>
          <w:szCs w:val="24"/>
          <w:lang w:eastAsia="en-US"/>
        </w:rPr>
        <w:t xml:space="preserve"> </w:t>
      </w:r>
      <w:r w:rsidR="0004281F">
        <w:rPr>
          <w:rFonts w:eastAsia="Arial"/>
          <w:sz w:val="24"/>
          <w:szCs w:val="24"/>
          <w:lang w:eastAsia="en-US"/>
        </w:rPr>
        <w:t>Na nárůstu se podílelo zejména navýšení zdrojů z MŠMT (institucionální podpora vzrostla o 10 832 tis. Kč, účelová podpora o 6 576 tis. Kč). U zdrojů z ostatních kapitol státního rozpočtu se podařilo získat více prostředků z Grantové agentury ČR (nárůst o 2 09</w:t>
      </w:r>
      <w:r w:rsidR="005A74D9">
        <w:rPr>
          <w:rFonts w:eastAsia="Arial"/>
          <w:sz w:val="24"/>
          <w:szCs w:val="24"/>
          <w:lang w:eastAsia="en-US"/>
        </w:rPr>
        <w:t>8</w:t>
      </w:r>
      <w:r w:rsidR="0004281F">
        <w:rPr>
          <w:rFonts w:eastAsia="Arial"/>
          <w:sz w:val="24"/>
          <w:szCs w:val="24"/>
          <w:lang w:eastAsia="en-US"/>
        </w:rPr>
        <w:t xml:space="preserve"> tis. K</w:t>
      </w:r>
      <w:r w:rsidR="00E96AA1">
        <w:rPr>
          <w:rFonts w:eastAsia="Arial"/>
          <w:sz w:val="24"/>
          <w:szCs w:val="24"/>
          <w:lang w:eastAsia="en-US"/>
        </w:rPr>
        <w:t>č).</w:t>
      </w:r>
      <w:r w:rsidR="00E96AA1" w:rsidRPr="00E96AA1">
        <w:rPr>
          <w:rFonts w:eastAsia="Arial"/>
          <w:sz w:val="24"/>
          <w:szCs w:val="24"/>
          <w:lang w:eastAsia="en-US"/>
        </w:rPr>
        <w:t xml:space="preserve"> </w:t>
      </w:r>
      <w:r w:rsidR="00E96AA1">
        <w:rPr>
          <w:rFonts w:eastAsia="Arial"/>
          <w:sz w:val="24"/>
          <w:szCs w:val="24"/>
          <w:lang w:eastAsia="en-US"/>
        </w:rPr>
        <w:t>Struktura finančních prostředků</w:t>
      </w:r>
      <w:r w:rsidR="00E96AA1" w:rsidRPr="00E55CC5">
        <w:rPr>
          <w:rFonts w:eastAsia="Arial"/>
          <w:sz w:val="24"/>
          <w:szCs w:val="24"/>
          <w:lang w:eastAsia="en-US"/>
        </w:rPr>
        <w:t xml:space="preserve"> j</w:t>
      </w:r>
      <w:r w:rsidR="00E96AA1">
        <w:rPr>
          <w:rFonts w:eastAsia="Arial"/>
          <w:sz w:val="24"/>
          <w:szCs w:val="24"/>
          <w:lang w:eastAsia="en-US"/>
        </w:rPr>
        <w:t>e</w:t>
      </w:r>
      <w:r w:rsidR="00E96AA1" w:rsidRPr="00E55CC5">
        <w:rPr>
          <w:rFonts w:eastAsia="Arial"/>
          <w:sz w:val="24"/>
          <w:szCs w:val="24"/>
          <w:lang w:eastAsia="en-US"/>
        </w:rPr>
        <w:t xml:space="preserve"> uveden</w:t>
      </w:r>
      <w:r w:rsidR="00E96AA1">
        <w:rPr>
          <w:rFonts w:eastAsia="Arial"/>
          <w:sz w:val="24"/>
          <w:szCs w:val="24"/>
          <w:lang w:eastAsia="en-US"/>
        </w:rPr>
        <w:t>a</w:t>
      </w:r>
      <w:r w:rsidR="00E96AA1" w:rsidRPr="00E55CC5">
        <w:rPr>
          <w:rFonts w:eastAsia="Arial"/>
          <w:sz w:val="24"/>
          <w:szCs w:val="24"/>
          <w:lang w:eastAsia="en-US"/>
        </w:rPr>
        <w:t xml:space="preserve"> v tab. 5b.</w:t>
      </w:r>
    </w:p>
    <w:p w:rsidR="00FF0D20" w:rsidRPr="00F63514" w:rsidRDefault="00FF0D20" w:rsidP="00C72F05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</w:p>
    <w:p w:rsidR="00E40853" w:rsidRDefault="00E96AA1" w:rsidP="00C72F05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>
        <w:rPr>
          <w:rFonts w:eastAsia="Arial"/>
          <w:sz w:val="24"/>
          <w:szCs w:val="24"/>
          <w:lang w:eastAsia="en-US"/>
        </w:rPr>
        <w:t xml:space="preserve">Ostatní zdroje financování zůstaly na úrovni roku 2012. </w:t>
      </w:r>
      <w:r w:rsidR="00932AC3">
        <w:rPr>
          <w:rFonts w:eastAsia="Arial"/>
          <w:sz w:val="24"/>
          <w:szCs w:val="24"/>
          <w:lang w:eastAsia="en-US"/>
        </w:rPr>
        <w:t xml:space="preserve">Přehled financování programů strukturálních fondů je uveden v tabulce 5 d. </w:t>
      </w:r>
    </w:p>
    <w:p w:rsidR="00E40853" w:rsidRDefault="00E40853" w:rsidP="00C72F05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</w:p>
    <w:p w:rsidR="00C72F05" w:rsidRPr="00F63514" w:rsidRDefault="003A16CB" w:rsidP="00C72F05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>
        <w:rPr>
          <w:rFonts w:eastAsia="Arial"/>
          <w:sz w:val="24"/>
          <w:szCs w:val="24"/>
          <w:lang w:eastAsia="en-US"/>
        </w:rPr>
        <w:lastRenderedPageBreak/>
        <w:t>Fakulta v roce 201</w:t>
      </w:r>
      <w:r w:rsidR="00B06B42">
        <w:rPr>
          <w:rFonts w:eastAsia="Arial"/>
          <w:sz w:val="24"/>
          <w:szCs w:val="24"/>
          <w:lang w:eastAsia="en-US"/>
        </w:rPr>
        <w:t>3</w:t>
      </w:r>
      <w:r>
        <w:rPr>
          <w:rFonts w:eastAsia="Arial"/>
          <w:sz w:val="24"/>
          <w:szCs w:val="24"/>
          <w:lang w:eastAsia="en-US"/>
        </w:rPr>
        <w:t xml:space="preserve"> nečerpala prostředky </w:t>
      </w:r>
      <w:r w:rsidR="00D11EB2">
        <w:rPr>
          <w:rFonts w:eastAsia="Arial"/>
          <w:sz w:val="24"/>
          <w:szCs w:val="24"/>
          <w:lang w:eastAsia="en-US"/>
        </w:rPr>
        <w:t>financování programů reprodukce majetku</w:t>
      </w:r>
      <w:r>
        <w:rPr>
          <w:rFonts w:eastAsia="Arial"/>
          <w:sz w:val="24"/>
          <w:szCs w:val="24"/>
          <w:lang w:eastAsia="en-US"/>
        </w:rPr>
        <w:t>.</w:t>
      </w:r>
    </w:p>
    <w:p w:rsidR="00246463" w:rsidRPr="00F63514" w:rsidRDefault="00246463">
      <w:pPr>
        <w:pStyle w:val="Zkladntext"/>
      </w:pPr>
    </w:p>
    <w:p w:rsidR="00071CBB" w:rsidRPr="00F63514" w:rsidRDefault="00071CBB">
      <w:pPr>
        <w:pStyle w:val="Zkladntext"/>
      </w:pPr>
    </w:p>
    <w:p w:rsidR="006F07D2" w:rsidRPr="00F63514" w:rsidRDefault="00071CBB" w:rsidP="0083621E">
      <w:pPr>
        <w:pStyle w:val="Zkladntext"/>
        <w:numPr>
          <w:ilvl w:val="2"/>
          <w:numId w:val="36"/>
        </w:numPr>
        <w:tabs>
          <w:tab w:val="clear" w:pos="0"/>
          <w:tab w:val="left" w:pos="851"/>
        </w:tabs>
        <w:ind w:left="0" w:firstLine="0"/>
        <w:rPr>
          <w:b/>
        </w:rPr>
      </w:pPr>
      <w:r w:rsidRPr="00F63514">
        <w:rPr>
          <w:b/>
        </w:rPr>
        <w:t>Vlastní výnosy v hlavní a doplňkové činnosti</w:t>
      </w:r>
    </w:p>
    <w:p w:rsidR="006F07D2" w:rsidRPr="00F63514" w:rsidRDefault="006F07D2">
      <w:pPr>
        <w:pStyle w:val="Zkladntext"/>
      </w:pPr>
    </w:p>
    <w:p w:rsidR="00071CBB" w:rsidRPr="00F63514" w:rsidRDefault="00071CBB" w:rsidP="00071CBB">
      <w:pPr>
        <w:pStyle w:val="Zkladntext"/>
      </w:pPr>
      <w:r w:rsidRPr="00F63514">
        <w:t xml:space="preserve">Veškeré příjmy za vlastní výkony v hlavní činnosti plynuly fakultě z příjmů z prodeje služeb. Z programů CŽV a z ostatních kurzů prováděných za úplatu získala fakulta celkem </w:t>
      </w:r>
      <w:r w:rsidR="00B06B42">
        <w:t>28 840 tis. Kč</w:t>
      </w:r>
      <w:r w:rsidR="006628FA" w:rsidRPr="00F63514">
        <w:t>.</w:t>
      </w:r>
      <w:r w:rsidRPr="00F63514">
        <w:t xml:space="preserve"> Proti roku 20</w:t>
      </w:r>
      <w:r w:rsidR="006628FA" w:rsidRPr="00F63514">
        <w:t>1</w:t>
      </w:r>
      <w:r w:rsidR="00B06B42">
        <w:t>2</w:t>
      </w:r>
      <w:r w:rsidRPr="00F63514">
        <w:t xml:space="preserve"> došlo ke </w:t>
      </w:r>
      <w:r w:rsidR="00B06B42">
        <w:t>zvýšení</w:t>
      </w:r>
      <w:r w:rsidRPr="00F63514">
        <w:t xml:space="preserve"> o </w:t>
      </w:r>
      <w:r w:rsidR="00B06B42">
        <w:t>1 004</w:t>
      </w:r>
      <w:r w:rsidR="006628FA" w:rsidRPr="00F63514">
        <w:t xml:space="preserve"> tis.</w:t>
      </w:r>
      <w:r w:rsidRPr="00F63514">
        <w:t xml:space="preserve"> Kč. Příjem za programy CŽV činil </w:t>
      </w:r>
      <w:r w:rsidR="00B06B42">
        <w:t>6 380</w:t>
      </w:r>
      <w:r w:rsidR="006628FA" w:rsidRPr="00F63514">
        <w:t xml:space="preserve"> tis.</w:t>
      </w:r>
      <w:r w:rsidRPr="00F63514">
        <w:t xml:space="preserve"> Kč</w:t>
      </w:r>
      <w:r w:rsidR="00A71A52">
        <w:t xml:space="preserve"> (</w:t>
      </w:r>
      <w:r w:rsidR="00B06B42">
        <w:t>zvýšení</w:t>
      </w:r>
      <w:r w:rsidR="00A71A52">
        <w:t xml:space="preserve"> proti roku 201</w:t>
      </w:r>
      <w:r w:rsidR="00B06B42">
        <w:t>2</w:t>
      </w:r>
      <w:r w:rsidR="00A71A52">
        <w:t xml:space="preserve"> o </w:t>
      </w:r>
      <w:r w:rsidR="00B06B42">
        <w:t>2 215</w:t>
      </w:r>
      <w:r w:rsidR="00A71A52">
        <w:t xml:space="preserve"> tis. Kč)</w:t>
      </w:r>
      <w:r w:rsidRPr="00F63514">
        <w:t>, příj</w:t>
      </w:r>
      <w:r w:rsidR="00611B0E" w:rsidRPr="00F63514">
        <w:t>my za</w:t>
      </w:r>
      <w:r w:rsidRPr="00F63514">
        <w:t xml:space="preserve"> </w:t>
      </w:r>
      <w:r w:rsidR="006628FA" w:rsidRPr="00F63514">
        <w:t>letní školy a</w:t>
      </w:r>
      <w:r w:rsidRPr="00F63514">
        <w:t xml:space="preserve"> americké programy </w:t>
      </w:r>
      <w:r w:rsidR="00A71A52">
        <w:t xml:space="preserve">činily </w:t>
      </w:r>
      <w:r w:rsidR="00093B2D">
        <w:t>16 199</w:t>
      </w:r>
      <w:r w:rsidR="006628FA" w:rsidRPr="00F63514">
        <w:t xml:space="preserve"> tis. </w:t>
      </w:r>
      <w:r w:rsidRPr="00F63514">
        <w:t>Kč</w:t>
      </w:r>
      <w:r w:rsidR="00093B2D">
        <w:t xml:space="preserve"> (pokles o 1 071 tis. Kč)</w:t>
      </w:r>
      <w:r w:rsidRPr="00F63514">
        <w:t xml:space="preserve">. Poplatky od studentů dosáhly celkové výše </w:t>
      </w:r>
      <w:r w:rsidR="00A71A52">
        <w:t>2</w:t>
      </w:r>
      <w:r w:rsidR="00093B2D">
        <w:t>5</w:t>
      </w:r>
      <w:r w:rsidR="00A71A52">
        <w:t xml:space="preserve"> </w:t>
      </w:r>
      <w:r w:rsidR="00B03C76">
        <w:t>92</w:t>
      </w:r>
      <w:r w:rsidR="00E34E19">
        <w:t>5</w:t>
      </w:r>
      <w:r w:rsidR="006628FA" w:rsidRPr="00F63514">
        <w:t xml:space="preserve"> tis</w:t>
      </w:r>
      <w:r w:rsidRPr="00F63514">
        <w:t xml:space="preserve">. Kč, z toho poplatky spojené se studiem podle § 58 zákona o vysokých školách </w:t>
      </w:r>
      <w:r w:rsidR="00E34E19">
        <w:t>25 214</w:t>
      </w:r>
      <w:r w:rsidR="00476AC1" w:rsidRPr="00F63514">
        <w:t xml:space="preserve"> tis</w:t>
      </w:r>
      <w:r w:rsidRPr="00F63514">
        <w:t xml:space="preserve">. Kč a poplatky ostatní </w:t>
      </w:r>
      <w:r w:rsidR="00E34E19">
        <w:t>710</w:t>
      </w:r>
      <w:r w:rsidR="00476AC1" w:rsidRPr="00F63514">
        <w:t xml:space="preserve"> tis.</w:t>
      </w:r>
      <w:r w:rsidRPr="00F63514">
        <w:t xml:space="preserve"> Kč. V doplňkové činnosti </w:t>
      </w:r>
      <w:r w:rsidR="00611B0E" w:rsidRPr="00F63514">
        <w:t>hlavní část příjmů tvořily</w:t>
      </w:r>
      <w:r w:rsidRPr="00F63514">
        <w:t xml:space="preserve"> příjmy z pronájmů (</w:t>
      </w:r>
      <w:r w:rsidR="00476AC1" w:rsidRPr="00F63514">
        <w:t>1 </w:t>
      </w:r>
      <w:r w:rsidR="00E34E19">
        <w:t>04</w:t>
      </w:r>
      <w:r w:rsidR="008667CD">
        <w:t>7</w:t>
      </w:r>
      <w:r w:rsidR="00476AC1" w:rsidRPr="00F63514">
        <w:t xml:space="preserve"> tis.</w:t>
      </w:r>
      <w:r w:rsidRPr="00F63514">
        <w:t xml:space="preserve"> Kč)</w:t>
      </w:r>
      <w:r w:rsidR="00E34E19">
        <w:t>, příjmy z kurzů (1</w:t>
      </w:r>
      <w:r w:rsidR="00BF2D37">
        <w:t> </w:t>
      </w:r>
      <w:r w:rsidR="00E34E19">
        <w:t>199</w:t>
      </w:r>
      <w:r w:rsidR="00BF2D37">
        <w:t xml:space="preserve"> </w:t>
      </w:r>
      <w:r w:rsidR="00E34E19">
        <w:t>tis. Kč), příjmy z transferu znalostí</w:t>
      </w:r>
      <w:r w:rsidRPr="00F63514">
        <w:t xml:space="preserve"> </w:t>
      </w:r>
      <w:r w:rsidR="00BF2D37">
        <w:t>(</w:t>
      </w:r>
      <w:r w:rsidR="00E34E19">
        <w:t xml:space="preserve">769 tis. Kč) </w:t>
      </w:r>
      <w:r w:rsidRPr="00F63514">
        <w:t>a příjmy z prodeje knih (</w:t>
      </w:r>
      <w:r w:rsidR="008667CD">
        <w:t>6</w:t>
      </w:r>
      <w:r w:rsidR="00E34E19">
        <w:t>47</w:t>
      </w:r>
      <w:r w:rsidR="00476AC1" w:rsidRPr="00F63514">
        <w:t xml:space="preserve"> tis</w:t>
      </w:r>
      <w:r w:rsidRPr="00F63514">
        <w:t xml:space="preserve">. Kč). </w:t>
      </w:r>
    </w:p>
    <w:p w:rsidR="006F07D2" w:rsidRPr="00F63514" w:rsidRDefault="006F07D2">
      <w:pPr>
        <w:pStyle w:val="Zkladntext"/>
      </w:pPr>
    </w:p>
    <w:p w:rsidR="00476AC1" w:rsidRPr="00F63514" w:rsidRDefault="00476AC1" w:rsidP="00476AC1">
      <w:pPr>
        <w:pStyle w:val="Zkladntext"/>
      </w:pPr>
      <w:r w:rsidRPr="00F63514">
        <w:t xml:space="preserve">Z celkové hodnoty </w:t>
      </w:r>
      <w:r w:rsidR="008667CD">
        <w:t xml:space="preserve">poplatků </w:t>
      </w:r>
      <w:r w:rsidR="005C2AC8">
        <w:t>25 214</w:t>
      </w:r>
      <w:r w:rsidRPr="00F63514">
        <w:t xml:space="preserve"> tis. Kč (v roce 201</w:t>
      </w:r>
      <w:r w:rsidR="00E34E19">
        <w:t>2</w:t>
      </w:r>
      <w:r w:rsidRPr="00F63514">
        <w:t xml:space="preserve">: </w:t>
      </w:r>
      <w:r w:rsidR="00E34E19">
        <w:t>28 645</w:t>
      </w:r>
      <w:r w:rsidRPr="00F63514">
        <w:t xml:space="preserve"> tis. Kč) rozhodující podíl tvořily poplatky za delší a další studium, které jsou příjmem stipendijního fondu. Hodnota poplatků za přijímací řízení </w:t>
      </w:r>
      <w:r w:rsidR="005C2AC8">
        <w:t>dosáhla výše 5 987 tis. Kč</w:t>
      </w:r>
      <w:r w:rsidRPr="00F63514">
        <w:t>.</w:t>
      </w:r>
    </w:p>
    <w:p w:rsidR="006F07D2" w:rsidRPr="00F63514" w:rsidRDefault="006F07D2">
      <w:pPr>
        <w:pStyle w:val="Zkladntext"/>
      </w:pPr>
    </w:p>
    <w:p w:rsidR="002F5722" w:rsidRPr="00F63514" w:rsidRDefault="00C7100F">
      <w:pPr>
        <w:pStyle w:val="Zkladntext"/>
      </w:pPr>
      <w:r w:rsidRPr="00F63514">
        <w:t xml:space="preserve">Další významnou položkou výnosů jsou ostatní výnosy, které zahrnují zejména výnosy spjaté se zúčtováním fondů a jiné ostatní výnosy. </w:t>
      </w:r>
    </w:p>
    <w:p w:rsidR="002F5722" w:rsidRPr="00F63514" w:rsidRDefault="002F5722">
      <w:pPr>
        <w:pStyle w:val="Zkladntext"/>
      </w:pPr>
    </w:p>
    <w:p w:rsidR="002F5722" w:rsidRPr="00F63514" w:rsidRDefault="00C7100F">
      <w:pPr>
        <w:pStyle w:val="Zkladntext"/>
      </w:pPr>
      <w:r w:rsidRPr="00F63514">
        <w:t xml:space="preserve">Z celkové hodnoty </w:t>
      </w:r>
      <w:r w:rsidR="00EB638F">
        <w:t>65 106</w:t>
      </w:r>
      <w:r w:rsidRPr="00F63514">
        <w:t xml:space="preserve"> tis. Kč uvedené v položce zúčtování fondů připadá </w:t>
      </w:r>
      <w:r w:rsidR="00EB638F">
        <w:t>33 046</w:t>
      </w:r>
      <w:r w:rsidRPr="00F63514">
        <w:t xml:space="preserve"> tis. Kč na zúčtování stipendijního fondu, </w:t>
      </w:r>
      <w:r w:rsidR="00EB638F">
        <w:t>5 621</w:t>
      </w:r>
      <w:r w:rsidR="00EB13FC">
        <w:t xml:space="preserve"> </w:t>
      </w:r>
      <w:r w:rsidRPr="00F63514">
        <w:t>tis. Kč na zúčtování fondu účel</w:t>
      </w:r>
      <w:r w:rsidR="0023108C" w:rsidRPr="00F63514">
        <w:t>ově určených prostředků</w:t>
      </w:r>
      <w:r w:rsidR="004F5E30" w:rsidRPr="00F63514">
        <w:t xml:space="preserve"> </w:t>
      </w:r>
      <w:r w:rsidR="004F5E30" w:rsidRPr="00F63514">
        <w:br/>
      </w:r>
      <w:r w:rsidR="0023108C" w:rsidRPr="00F63514">
        <w:t xml:space="preserve">(v tom dary </w:t>
      </w:r>
      <w:r w:rsidR="00EB638F">
        <w:t>3 799</w:t>
      </w:r>
      <w:r w:rsidR="0023108C" w:rsidRPr="00F63514">
        <w:t xml:space="preserve"> tis. Kč a veřejné prostředky </w:t>
      </w:r>
      <w:r w:rsidR="00EB638F">
        <w:t>1 82</w:t>
      </w:r>
      <w:r w:rsidR="00BF2D37">
        <w:t>2</w:t>
      </w:r>
      <w:r w:rsidR="0023108C" w:rsidRPr="00F63514">
        <w:t xml:space="preserve"> tis. Kč), </w:t>
      </w:r>
      <w:r w:rsidR="00A20E48" w:rsidRPr="00F63514">
        <w:t xml:space="preserve">6 </w:t>
      </w:r>
      <w:r w:rsidR="00EB638F">
        <w:t>655</w:t>
      </w:r>
      <w:r w:rsidR="0023108C" w:rsidRPr="00F63514">
        <w:t xml:space="preserve"> tis. Kč na zúčtování sociálního fondu a </w:t>
      </w:r>
      <w:r w:rsidR="00EB638F">
        <w:t>19 784</w:t>
      </w:r>
      <w:r w:rsidR="0023108C" w:rsidRPr="00F63514">
        <w:t xml:space="preserve"> tis. Kč na zúčtování fondu </w:t>
      </w:r>
      <w:r w:rsidR="00EB638F">
        <w:t>provozních prostředků</w:t>
      </w:r>
      <w:r w:rsidR="0023108C" w:rsidRPr="00F63514">
        <w:t xml:space="preserve">. </w:t>
      </w:r>
    </w:p>
    <w:p w:rsidR="002F5722" w:rsidRPr="00F63514" w:rsidRDefault="002F5722">
      <w:pPr>
        <w:pStyle w:val="Zkladntext"/>
      </w:pPr>
    </w:p>
    <w:p w:rsidR="006F07D2" w:rsidRPr="00F63514" w:rsidRDefault="0023108C">
      <w:pPr>
        <w:pStyle w:val="Zkladntext"/>
      </w:pPr>
      <w:r w:rsidRPr="00F63514">
        <w:t>Nejvýznamnější položkou jiných ostatních výnosů jsou „papírové výnosy</w:t>
      </w:r>
      <w:r w:rsidR="00A20E48" w:rsidRPr="00F63514">
        <w:t>“</w:t>
      </w:r>
      <w:r w:rsidRPr="00F63514">
        <w:t xml:space="preserve"> (</w:t>
      </w:r>
      <w:r w:rsidR="00EB638F">
        <w:t>13 034</w:t>
      </w:r>
      <w:r w:rsidRPr="00F63514">
        <w:t xml:space="preserve"> tis. Kč)</w:t>
      </w:r>
      <w:r w:rsidR="00A20E48" w:rsidRPr="00F63514">
        <w:t>. Dále tato položka zahrnuje příjmy ze spoluřešitelských projektů (</w:t>
      </w:r>
      <w:r w:rsidR="00EB638F">
        <w:t>1 697</w:t>
      </w:r>
      <w:r w:rsidR="00A20E48" w:rsidRPr="00F63514">
        <w:t xml:space="preserve"> tis. Kč), zahraniční příjmy </w:t>
      </w:r>
      <w:r w:rsidR="00464426">
        <w:br/>
      </w:r>
      <w:r w:rsidR="00A20E48" w:rsidRPr="00F63514">
        <w:t>(</w:t>
      </w:r>
      <w:r w:rsidR="00EB638F">
        <w:t>1 921</w:t>
      </w:r>
      <w:r w:rsidR="00464426">
        <w:t xml:space="preserve"> tis. Kč) </w:t>
      </w:r>
      <w:r w:rsidR="00A20E48" w:rsidRPr="00F63514">
        <w:t>a ostatní příjmy (</w:t>
      </w:r>
      <w:r w:rsidR="00EB638F">
        <w:t>2 412</w:t>
      </w:r>
      <w:r w:rsidR="00A20E48" w:rsidRPr="00F63514">
        <w:t xml:space="preserve"> tis. Kč).</w:t>
      </w:r>
    </w:p>
    <w:p w:rsidR="006F07D2" w:rsidRPr="00F63514" w:rsidRDefault="006F07D2">
      <w:pPr>
        <w:pStyle w:val="Zkladntext"/>
      </w:pPr>
    </w:p>
    <w:p w:rsidR="00AD5891" w:rsidRPr="00F63514" w:rsidRDefault="00611B0E">
      <w:pPr>
        <w:pStyle w:val="Zkladntext"/>
      </w:pPr>
      <w:r w:rsidRPr="00F63514">
        <w:t>P</w:t>
      </w:r>
      <w:r w:rsidR="009E534F" w:rsidRPr="00F63514">
        <w:t xml:space="preserve">rovozní dotace </w:t>
      </w:r>
      <w:r w:rsidRPr="00F63514">
        <w:t>činily v roce 201</w:t>
      </w:r>
      <w:r w:rsidR="00EB638F">
        <w:t>3</w:t>
      </w:r>
      <w:r w:rsidRPr="00F63514">
        <w:t xml:space="preserve"> </w:t>
      </w:r>
      <w:r w:rsidR="009E534F" w:rsidRPr="00F63514">
        <w:t>celkem</w:t>
      </w:r>
      <w:r w:rsidR="00AD5891" w:rsidRPr="00F63514">
        <w:t xml:space="preserve"> </w:t>
      </w:r>
      <w:r w:rsidR="00464426">
        <w:t>5</w:t>
      </w:r>
      <w:r w:rsidR="00EB638F">
        <w:t>13</w:t>
      </w:r>
      <w:r w:rsidR="009E534F" w:rsidRPr="00F63514">
        <w:t> </w:t>
      </w:r>
      <w:r w:rsidR="00464426">
        <w:t>8</w:t>
      </w:r>
      <w:r w:rsidR="00EB638F">
        <w:t>33</w:t>
      </w:r>
      <w:r w:rsidR="009E534F" w:rsidRPr="00F63514">
        <w:t xml:space="preserve"> tis. Kč</w:t>
      </w:r>
      <w:r w:rsidR="00AD5891" w:rsidRPr="00F63514">
        <w:t xml:space="preserve">. </w:t>
      </w:r>
    </w:p>
    <w:p w:rsidR="00C72F05" w:rsidRPr="00F63514" w:rsidRDefault="00C72F05">
      <w:pPr>
        <w:pStyle w:val="Zkladntext"/>
      </w:pPr>
    </w:p>
    <w:p w:rsidR="002F5722" w:rsidRPr="00F63514" w:rsidRDefault="002F5722">
      <w:pPr>
        <w:pStyle w:val="Zkladntext"/>
      </w:pPr>
    </w:p>
    <w:p w:rsidR="00785441" w:rsidRPr="00F63514" w:rsidRDefault="006F07D2" w:rsidP="0083621E">
      <w:pPr>
        <w:numPr>
          <w:ilvl w:val="2"/>
          <w:numId w:val="36"/>
        </w:numPr>
        <w:tabs>
          <w:tab w:val="left" w:pos="851"/>
        </w:tabs>
        <w:spacing w:line="288" w:lineRule="auto"/>
        <w:ind w:left="0" w:firstLine="0"/>
        <w:jc w:val="both"/>
        <w:rPr>
          <w:rFonts w:eastAsia="Arial"/>
          <w:b/>
          <w:bCs/>
          <w:sz w:val="24"/>
          <w:szCs w:val="24"/>
          <w:lang w:eastAsia="en-US"/>
        </w:rPr>
      </w:pPr>
      <w:r w:rsidRPr="00F63514">
        <w:rPr>
          <w:rFonts w:eastAsia="Arial"/>
          <w:b/>
          <w:bCs/>
          <w:sz w:val="24"/>
          <w:szCs w:val="24"/>
          <w:lang w:eastAsia="en-US"/>
        </w:rPr>
        <w:t>Náklady</w:t>
      </w:r>
    </w:p>
    <w:p w:rsidR="00785441" w:rsidRPr="00F63514" w:rsidRDefault="00785441" w:rsidP="00785441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</w:p>
    <w:p w:rsidR="00B528DE" w:rsidRPr="00F63514" w:rsidRDefault="00B528DE" w:rsidP="00B528DE">
      <w:pPr>
        <w:pStyle w:val="Zkladntext"/>
      </w:pPr>
      <w:r w:rsidRPr="00F63514">
        <w:t xml:space="preserve">Největší </w:t>
      </w:r>
      <w:r w:rsidR="00611B0E" w:rsidRPr="00F63514">
        <w:t>složku</w:t>
      </w:r>
      <w:r w:rsidRPr="00F63514">
        <w:t xml:space="preserve"> nákladů představuj</w:t>
      </w:r>
      <w:r w:rsidR="00804BAA" w:rsidRPr="00F63514">
        <w:t>í</w:t>
      </w:r>
      <w:r w:rsidRPr="00F63514">
        <w:t xml:space="preserve"> osobní náklady, jejichž podíl na celkových nákladech činí </w:t>
      </w:r>
      <w:r w:rsidR="00EB638F">
        <w:t>60,3</w:t>
      </w:r>
      <w:r w:rsidRPr="00F63514">
        <w:t xml:space="preserve"> %</w:t>
      </w:r>
      <w:r w:rsidR="00464426">
        <w:t>. Proti roku 201</w:t>
      </w:r>
      <w:r w:rsidR="00EB638F">
        <w:t>2</w:t>
      </w:r>
      <w:r w:rsidR="00464426">
        <w:t xml:space="preserve"> došlo ke </w:t>
      </w:r>
      <w:r w:rsidR="00EB638F">
        <w:t>zvýšení</w:t>
      </w:r>
      <w:r w:rsidRPr="00F63514">
        <w:t xml:space="preserve"> </w:t>
      </w:r>
      <w:r w:rsidR="00464426">
        <w:t xml:space="preserve">o </w:t>
      </w:r>
      <w:r w:rsidR="00EB638F">
        <w:t>26 400</w:t>
      </w:r>
      <w:r w:rsidR="00464426">
        <w:t xml:space="preserve"> tis. Kč, což představuje </w:t>
      </w:r>
      <w:r w:rsidR="00EB638F">
        <w:t>nárůst</w:t>
      </w:r>
      <w:r w:rsidR="00464426">
        <w:t xml:space="preserve"> o </w:t>
      </w:r>
      <w:r w:rsidR="00000D80">
        <w:t xml:space="preserve">7 </w:t>
      </w:r>
      <w:r w:rsidR="00464426">
        <w:t>%.</w:t>
      </w:r>
    </w:p>
    <w:p w:rsidR="00B528DE" w:rsidRPr="00F63514" w:rsidRDefault="00B528DE" w:rsidP="00B528DE">
      <w:pPr>
        <w:pStyle w:val="Zkladntext"/>
      </w:pPr>
    </w:p>
    <w:p w:rsidR="00FE7371" w:rsidRPr="00F63514" w:rsidRDefault="00FE7371" w:rsidP="00B528DE">
      <w:pPr>
        <w:pStyle w:val="Zkladntext"/>
      </w:pPr>
      <w:r w:rsidRPr="00F63514">
        <w:t xml:space="preserve">Objem vyplacených mzdových prostředků </w:t>
      </w:r>
      <w:r w:rsidR="00464426">
        <w:t xml:space="preserve">se </w:t>
      </w:r>
      <w:r w:rsidR="00000D80">
        <w:t>zvýšil</w:t>
      </w:r>
      <w:r w:rsidR="00464426">
        <w:t xml:space="preserve"> o </w:t>
      </w:r>
      <w:r w:rsidR="00000D80">
        <w:t>1</w:t>
      </w:r>
      <w:r w:rsidR="00464426">
        <w:t>9 7</w:t>
      </w:r>
      <w:r w:rsidR="00000D80">
        <w:t>59</w:t>
      </w:r>
      <w:r w:rsidR="00464426">
        <w:t xml:space="preserve"> tis. Kč</w:t>
      </w:r>
      <w:r w:rsidRPr="00F63514">
        <w:t>.</w:t>
      </w:r>
      <w:r w:rsidR="00E02D51" w:rsidRPr="00F63514">
        <w:t xml:space="preserve"> </w:t>
      </w:r>
      <w:r w:rsidR="00000D80">
        <w:t>Zvýšily</w:t>
      </w:r>
      <w:r w:rsidR="00E02D51" w:rsidRPr="00F63514">
        <w:t xml:space="preserve"> se rovněž i navazující sociální náklady.</w:t>
      </w:r>
    </w:p>
    <w:p w:rsidR="00FE7371" w:rsidRPr="00F63514" w:rsidRDefault="00FE7371" w:rsidP="00B528DE">
      <w:pPr>
        <w:pStyle w:val="Zkladntext"/>
      </w:pPr>
    </w:p>
    <w:p w:rsidR="00FE7371" w:rsidRPr="00F63514" w:rsidRDefault="00FE7371" w:rsidP="00B528DE">
      <w:pPr>
        <w:pStyle w:val="Zkladntext"/>
      </w:pPr>
      <w:r w:rsidRPr="00F63514">
        <w:lastRenderedPageBreak/>
        <w:t>Druhou významnou položkou nákladů jsou stipendia, která byla v roce 201</w:t>
      </w:r>
      <w:r w:rsidR="00000D80">
        <w:t>3</w:t>
      </w:r>
      <w:r w:rsidRPr="00F63514">
        <w:t xml:space="preserve"> vyplacena v celkové výši </w:t>
      </w:r>
      <w:r w:rsidR="00000D80">
        <w:t>98 249</w:t>
      </w:r>
      <w:r w:rsidRPr="00F63514">
        <w:t xml:space="preserve"> tis. Kč</w:t>
      </w:r>
      <w:r w:rsidR="00000D80">
        <w:t>,</w:t>
      </w:r>
      <w:r w:rsidRPr="00F63514">
        <w:t xml:space="preserve"> </w:t>
      </w:r>
      <w:r w:rsidR="00000D80" w:rsidRPr="00F63514">
        <w:t xml:space="preserve">tj. </w:t>
      </w:r>
      <w:r w:rsidR="00000D80">
        <w:t>14,8</w:t>
      </w:r>
      <w:r w:rsidR="00000D80" w:rsidRPr="00F63514">
        <w:t xml:space="preserve"> %</w:t>
      </w:r>
      <w:r w:rsidR="00000D80">
        <w:t xml:space="preserve"> z</w:t>
      </w:r>
      <w:r w:rsidR="00000D80" w:rsidRPr="00F63514">
        <w:t xml:space="preserve"> celkových nákladů </w:t>
      </w:r>
      <w:r w:rsidRPr="00F63514">
        <w:t>(v roce 201</w:t>
      </w:r>
      <w:r w:rsidR="00000D80">
        <w:t>2</w:t>
      </w:r>
      <w:r w:rsidRPr="00F63514">
        <w:t xml:space="preserve">: </w:t>
      </w:r>
      <w:r w:rsidR="00000D80">
        <w:t>93 087</w:t>
      </w:r>
      <w:r w:rsidRPr="00F63514">
        <w:t xml:space="preserve"> tis. Kč</w:t>
      </w:r>
      <w:r w:rsidR="00000D80">
        <w:t>, tj. 14,3% z celkových nákladů</w:t>
      </w:r>
      <w:r w:rsidRPr="00F63514">
        <w:t>).</w:t>
      </w:r>
    </w:p>
    <w:p w:rsidR="00E02D51" w:rsidRDefault="00E02D51" w:rsidP="00B528DE">
      <w:pPr>
        <w:pStyle w:val="Zkladntext"/>
      </w:pPr>
    </w:p>
    <w:p w:rsidR="00C15C39" w:rsidRPr="00C15C39" w:rsidRDefault="00C15C39" w:rsidP="00C15C39">
      <w:pPr>
        <w:jc w:val="both"/>
        <w:rPr>
          <w:bCs/>
          <w:iCs/>
          <w:sz w:val="24"/>
          <w:szCs w:val="24"/>
          <w:lang w:eastAsia="en-US"/>
        </w:rPr>
      </w:pPr>
      <w:r w:rsidRPr="00C15C39">
        <w:rPr>
          <w:bCs/>
          <w:iCs/>
          <w:sz w:val="24"/>
          <w:szCs w:val="24"/>
          <w:lang w:eastAsia="en-US"/>
        </w:rPr>
        <w:t>Oblast hospodaření s energiemi a médii byla určována faktory objektivními, které nelze zásadním způsobem ovlivnit (působení klimatu), i těmi, které správným užitím a synergickými efekty mohou celkové výstupy spotřeby a ceny energií a médií významně upravit ve prospěch odběratele.</w:t>
      </w:r>
    </w:p>
    <w:p w:rsidR="00C15C39" w:rsidRPr="00C15C39" w:rsidRDefault="00C15C39" w:rsidP="00C15C39">
      <w:pPr>
        <w:rPr>
          <w:bCs/>
          <w:iCs/>
          <w:sz w:val="24"/>
          <w:szCs w:val="24"/>
          <w:lang w:eastAsia="en-US"/>
        </w:rPr>
      </w:pPr>
    </w:p>
    <w:p w:rsidR="00065FBA" w:rsidRDefault="00065FBA" w:rsidP="00065FBA">
      <w:pPr>
        <w:jc w:val="both"/>
        <w:rPr>
          <w:bCs/>
          <w:iCs/>
          <w:sz w:val="24"/>
          <w:szCs w:val="24"/>
          <w:lang w:eastAsia="en-US"/>
        </w:rPr>
      </w:pPr>
      <w:r>
        <w:rPr>
          <w:bCs/>
          <w:iCs/>
          <w:sz w:val="24"/>
          <w:szCs w:val="24"/>
          <w:lang w:eastAsia="en-US"/>
        </w:rPr>
        <w:t xml:space="preserve">Topná sezóna 2012/2013 byla oproti sezóně 2011/2012 podstatně delší. Celkově byla sezóna 2012/2013 s průměrnou teplotou 5,0 °C náročnější než sezóna předchozí (průměrná teplota 5,96 °C). </w:t>
      </w:r>
    </w:p>
    <w:p w:rsidR="00065FBA" w:rsidRDefault="00065FBA" w:rsidP="00065FBA">
      <w:pPr>
        <w:jc w:val="both"/>
        <w:rPr>
          <w:bCs/>
          <w:iCs/>
          <w:sz w:val="24"/>
          <w:szCs w:val="24"/>
          <w:lang w:eastAsia="en-US"/>
        </w:rPr>
      </w:pPr>
    </w:p>
    <w:p w:rsidR="00065FBA" w:rsidRDefault="00065FBA" w:rsidP="00065FBA">
      <w:pPr>
        <w:jc w:val="both"/>
        <w:rPr>
          <w:bCs/>
          <w:iCs/>
          <w:sz w:val="24"/>
          <w:szCs w:val="24"/>
          <w:lang w:eastAsia="en-US"/>
        </w:rPr>
      </w:pPr>
      <w:r>
        <w:rPr>
          <w:bCs/>
          <w:iCs/>
          <w:sz w:val="24"/>
          <w:szCs w:val="24"/>
          <w:lang w:eastAsia="en-US"/>
        </w:rPr>
        <w:t xml:space="preserve">Ačkoliv by z těchto ukazatelů bylo možno předpokládat zvýšení nákladů na spotřebu energií, díky změně </w:t>
      </w:r>
      <w:r w:rsidRPr="005120BD">
        <w:rPr>
          <w:bCs/>
          <w:iCs/>
          <w:sz w:val="24"/>
          <w:szCs w:val="24"/>
          <w:lang w:eastAsia="en-US"/>
        </w:rPr>
        <w:t>dodavatele plynu i elektrické energie v rámci výběru společného dodavatele pro celou UK</w:t>
      </w:r>
      <w:r>
        <w:rPr>
          <w:bCs/>
          <w:iCs/>
          <w:sz w:val="24"/>
          <w:szCs w:val="24"/>
          <w:lang w:eastAsia="en-US"/>
        </w:rPr>
        <w:t xml:space="preserve"> byly náklady naopak sníženy o 1</w:t>
      </w:r>
      <w:r w:rsidR="002B0474">
        <w:rPr>
          <w:bCs/>
          <w:iCs/>
          <w:sz w:val="24"/>
          <w:szCs w:val="24"/>
          <w:lang w:eastAsia="en-US"/>
        </w:rPr>
        <w:t>0</w:t>
      </w:r>
      <w:r w:rsidR="00050923">
        <w:rPr>
          <w:bCs/>
          <w:iCs/>
          <w:sz w:val="24"/>
          <w:szCs w:val="24"/>
          <w:lang w:eastAsia="en-US"/>
        </w:rPr>
        <w:t xml:space="preserve"> </w:t>
      </w:r>
      <w:r>
        <w:rPr>
          <w:bCs/>
          <w:iCs/>
          <w:sz w:val="24"/>
          <w:szCs w:val="24"/>
          <w:lang w:eastAsia="en-US"/>
        </w:rPr>
        <w:t>% z 8 856 tis. Kč v roce 2012 na 7 </w:t>
      </w:r>
      <w:r w:rsidR="002B0474">
        <w:rPr>
          <w:bCs/>
          <w:iCs/>
          <w:sz w:val="24"/>
          <w:szCs w:val="24"/>
          <w:lang w:eastAsia="en-US"/>
        </w:rPr>
        <w:t>964</w:t>
      </w:r>
      <w:r>
        <w:rPr>
          <w:bCs/>
          <w:iCs/>
          <w:sz w:val="24"/>
          <w:szCs w:val="24"/>
          <w:lang w:eastAsia="en-US"/>
        </w:rPr>
        <w:t xml:space="preserve"> tis. Kč v roce 2013. </w:t>
      </w:r>
    </w:p>
    <w:p w:rsidR="00065FBA" w:rsidRDefault="00065FBA" w:rsidP="00065FBA">
      <w:pPr>
        <w:jc w:val="both"/>
        <w:rPr>
          <w:bCs/>
          <w:iCs/>
          <w:sz w:val="24"/>
          <w:szCs w:val="24"/>
          <w:lang w:eastAsia="en-US"/>
        </w:rPr>
      </w:pPr>
    </w:p>
    <w:p w:rsidR="00E02D51" w:rsidRPr="00F63514" w:rsidRDefault="00E11D46" w:rsidP="00E02D51">
      <w:pPr>
        <w:spacing w:line="288" w:lineRule="auto"/>
        <w:jc w:val="both"/>
        <w:rPr>
          <w:sz w:val="24"/>
          <w:szCs w:val="24"/>
        </w:rPr>
      </w:pPr>
      <w:r w:rsidRPr="00F63514">
        <w:rPr>
          <w:sz w:val="24"/>
          <w:szCs w:val="24"/>
        </w:rPr>
        <w:t xml:space="preserve">Náklady na služby dosáhly výše </w:t>
      </w:r>
      <w:r w:rsidR="002B0474">
        <w:rPr>
          <w:sz w:val="24"/>
          <w:szCs w:val="24"/>
        </w:rPr>
        <w:t>73 369</w:t>
      </w:r>
      <w:r w:rsidRPr="00F63514">
        <w:rPr>
          <w:sz w:val="24"/>
          <w:szCs w:val="24"/>
        </w:rPr>
        <w:t xml:space="preserve"> tis. Kč. Skladba a srovnání s předchozím rokem jsou uvedeny v následující tabulce:</w:t>
      </w:r>
    </w:p>
    <w:p w:rsidR="00DE700D" w:rsidRPr="00F63514" w:rsidRDefault="00DE700D" w:rsidP="00E02D51">
      <w:pPr>
        <w:spacing w:line="288" w:lineRule="auto"/>
        <w:jc w:val="both"/>
        <w:rPr>
          <w:sz w:val="22"/>
          <w:szCs w:val="22"/>
        </w:rPr>
      </w:pPr>
    </w:p>
    <w:p w:rsidR="00E11D46" w:rsidRPr="00F63514" w:rsidRDefault="00DE700D" w:rsidP="00DE700D">
      <w:pPr>
        <w:pBdr>
          <w:top w:val="single" w:sz="4" w:space="1" w:color="auto"/>
          <w:bottom w:val="single" w:sz="4" w:space="1" w:color="auto"/>
        </w:pBdr>
        <w:tabs>
          <w:tab w:val="right" w:pos="5812"/>
          <w:tab w:val="right" w:pos="8222"/>
        </w:tabs>
        <w:spacing w:line="288" w:lineRule="auto"/>
        <w:jc w:val="both"/>
        <w:rPr>
          <w:sz w:val="22"/>
          <w:szCs w:val="22"/>
        </w:rPr>
      </w:pPr>
      <w:r w:rsidRPr="00F63514">
        <w:rPr>
          <w:sz w:val="22"/>
          <w:szCs w:val="22"/>
        </w:rPr>
        <w:tab/>
      </w:r>
      <w:r w:rsidR="00E11D46" w:rsidRPr="00F63514">
        <w:rPr>
          <w:sz w:val="22"/>
          <w:szCs w:val="22"/>
        </w:rPr>
        <w:t>201</w:t>
      </w:r>
      <w:r w:rsidR="002B0474">
        <w:rPr>
          <w:sz w:val="22"/>
          <w:szCs w:val="22"/>
        </w:rPr>
        <w:t>3</w:t>
      </w:r>
      <w:r w:rsidR="00E11D46" w:rsidRPr="00F63514">
        <w:rPr>
          <w:sz w:val="22"/>
          <w:szCs w:val="22"/>
        </w:rPr>
        <w:tab/>
      </w:r>
      <w:r w:rsidRPr="00F63514">
        <w:rPr>
          <w:sz w:val="22"/>
          <w:szCs w:val="22"/>
        </w:rPr>
        <w:t>201</w:t>
      </w:r>
      <w:r w:rsidR="003349F5">
        <w:rPr>
          <w:sz w:val="22"/>
          <w:szCs w:val="22"/>
        </w:rPr>
        <w:t>2</w:t>
      </w:r>
    </w:p>
    <w:p w:rsidR="00DE700D" w:rsidRPr="00F63514" w:rsidRDefault="00DE700D" w:rsidP="00DE700D">
      <w:pPr>
        <w:tabs>
          <w:tab w:val="right" w:pos="5812"/>
          <w:tab w:val="right" w:pos="8222"/>
        </w:tabs>
        <w:ind w:left="425"/>
        <w:jc w:val="both"/>
        <w:rPr>
          <w:sz w:val="22"/>
          <w:szCs w:val="22"/>
        </w:rPr>
      </w:pPr>
    </w:p>
    <w:p w:rsidR="00E11D46" w:rsidRPr="00F63514" w:rsidRDefault="00E11D46" w:rsidP="00DE700D">
      <w:pPr>
        <w:tabs>
          <w:tab w:val="right" w:pos="5812"/>
          <w:tab w:val="right" w:pos="8222"/>
        </w:tabs>
        <w:spacing w:line="288" w:lineRule="auto"/>
        <w:ind w:left="426"/>
        <w:jc w:val="both"/>
        <w:rPr>
          <w:sz w:val="22"/>
          <w:szCs w:val="22"/>
        </w:rPr>
      </w:pPr>
      <w:r w:rsidRPr="00F63514">
        <w:rPr>
          <w:sz w:val="22"/>
          <w:szCs w:val="22"/>
        </w:rPr>
        <w:t>Opravy a udržování</w:t>
      </w:r>
      <w:r w:rsidRPr="00F63514">
        <w:rPr>
          <w:sz w:val="22"/>
          <w:szCs w:val="22"/>
        </w:rPr>
        <w:tab/>
      </w:r>
      <w:r w:rsidR="002B0474">
        <w:rPr>
          <w:sz w:val="22"/>
          <w:szCs w:val="22"/>
        </w:rPr>
        <w:t>2 744</w:t>
      </w:r>
      <w:r w:rsidR="00DE700D" w:rsidRPr="00F63514">
        <w:rPr>
          <w:sz w:val="22"/>
          <w:szCs w:val="22"/>
        </w:rPr>
        <w:tab/>
      </w:r>
      <w:r w:rsidR="00C15C39">
        <w:rPr>
          <w:sz w:val="22"/>
          <w:szCs w:val="22"/>
        </w:rPr>
        <w:t>2 313</w:t>
      </w:r>
    </w:p>
    <w:p w:rsidR="00D675D4" w:rsidRPr="00F63514" w:rsidRDefault="00E11D46" w:rsidP="00DE700D">
      <w:pPr>
        <w:tabs>
          <w:tab w:val="right" w:pos="5812"/>
          <w:tab w:val="right" w:pos="8222"/>
        </w:tabs>
        <w:spacing w:line="288" w:lineRule="auto"/>
        <w:ind w:left="426"/>
        <w:jc w:val="both"/>
        <w:rPr>
          <w:sz w:val="22"/>
          <w:szCs w:val="22"/>
        </w:rPr>
      </w:pPr>
      <w:r w:rsidRPr="00F63514">
        <w:rPr>
          <w:sz w:val="22"/>
          <w:szCs w:val="22"/>
        </w:rPr>
        <w:t>Zahraniční cestovné</w:t>
      </w:r>
      <w:r w:rsidR="00DE700D" w:rsidRPr="00F63514">
        <w:rPr>
          <w:sz w:val="22"/>
          <w:szCs w:val="22"/>
        </w:rPr>
        <w:tab/>
      </w:r>
      <w:r w:rsidR="00C816F0">
        <w:rPr>
          <w:sz w:val="22"/>
          <w:szCs w:val="22"/>
        </w:rPr>
        <w:t>10 774</w:t>
      </w:r>
      <w:r w:rsidR="00DE700D" w:rsidRPr="00F63514">
        <w:rPr>
          <w:sz w:val="22"/>
          <w:szCs w:val="22"/>
        </w:rPr>
        <w:tab/>
      </w:r>
      <w:r w:rsidR="00F10A4C">
        <w:rPr>
          <w:sz w:val="22"/>
          <w:szCs w:val="22"/>
        </w:rPr>
        <w:t>9 941</w:t>
      </w:r>
    </w:p>
    <w:p w:rsidR="00D675D4" w:rsidRPr="00F63514" w:rsidRDefault="00E11D46" w:rsidP="00DE700D">
      <w:pPr>
        <w:tabs>
          <w:tab w:val="right" w:pos="5812"/>
          <w:tab w:val="right" w:pos="8222"/>
        </w:tabs>
        <w:spacing w:line="288" w:lineRule="auto"/>
        <w:ind w:left="426"/>
        <w:jc w:val="both"/>
        <w:rPr>
          <w:sz w:val="22"/>
          <w:szCs w:val="22"/>
        </w:rPr>
      </w:pPr>
      <w:r w:rsidRPr="00F63514">
        <w:rPr>
          <w:sz w:val="22"/>
          <w:szCs w:val="22"/>
        </w:rPr>
        <w:t>Tuzemské cestovné</w:t>
      </w:r>
      <w:r w:rsidR="00DE700D" w:rsidRPr="00F63514">
        <w:rPr>
          <w:sz w:val="22"/>
          <w:szCs w:val="22"/>
        </w:rPr>
        <w:tab/>
      </w:r>
      <w:r w:rsidR="00C816F0">
        <w:rPr>
          <w:sz w:val="22"/>
          <w:szCs w:val="22"/>
        </w:rPr>
        <w:t>508</w:t>
      </w:r>
      <w:r w:rsidR="00DE700D" w:rsidRPr="00F63514">
        <w:rPr>
          <w:sz w:val="22"/>
          <w:szCs w:val="22"/>
        </w:rPr>
        <w:tab/>
      </w:r>
      <w:r w:rsidR="00F10A4C">
        <w:rPr>
          <w:sz w:val="22"/>
          <w:szCs w:val="22"/>
        </w:rPr>
        <w:t>593</w:t>
      </w:r>
    </w:p>
    <w:p w:rsidR="00DE700D" w:rsidRPr="00F63514" w:rsidRDefault="00DE700D" w:rsidP="00DE700D">
      <w:pPr>
        <w:tabs>
          <w:tab w:val="right" w:pos="5812"/>
          <w:tab w:val="right" w:pos="8222"/>
        </w:tabs>
        <w:spacing w:line="288" w:lineRule="auto"/>
        <w:ind w:left="426"/>
        <w:jc w:val="both"/>
        <w:rPr>
          <w:sz w:val="22"/>
          <w:szCs w:val="22"/>
        </w:rPr>
      </w:pPr>
      <w:r w:rsidRPr="00F63514">
        <w:rPr>
          <w:sz w:val="22"/>
          <w:szCs w:val="22"/>
        </w:rPr>
        <w:t>Náklady na reprezentaci</w:t>
      </w:r>
      <w:r w:rsidRPr="00F63514">
        <w:rPr>
          <w:sz w:val="22"/>
          <w:szCs w:val="22"/>
        </w:rPr>
        <w:tab/>
      </w:r>
      <w:r w:rsidR="00C816F0">
        <w:rPr>
          <w:sz w:val="22"/>
          <w:szCs w:val="22"/>
        </w:rPr>
        <w:t>1 246</w:t>
      </w:r>
      <w:r w:rsidRPr="00F63514">
        <w:rPr>
          <w:sz w:val="22"/>
          <w:szCs w:val="22"/>
        </w:rPr>
        <w:tab/>
      </w:r>
      <w:r w:rsidR="00F10A4C">
        <w:rPr>
          <w:sz w:val="22"/>
          <w:szCs w:val="22"/>
        </w:rPr>
        <w:t>930</w:t>
      </w:r>
    </w:p>
    <w:p w:rsidR="00DE700D" w:rsidRPr="00F63514" w:rsidRDefault="00DE700D" w:rsidP="00DE700D">
      <w:pPr>
        <w:tabs>
          <w:tab w:val="right" w:pos="5812"/>
          <w:tab w:val="right" w:pos="8222"/>
        </w:tabs>
        <w:spacing w:line="288" w:lineRule="auto"/>
        <w:ind w:left="426"/>
        <w:jc w:val="both"/>
        <w:rPr>
          <w:sz w:val="22"/>
          <w:szCs w:val="22"/>
        </w:rPr>
      </w:pPr>
      <w:r w:rsidRPr="00F63514">
        <w:rPr>
          <w:sz w:val="22"/>
          <w:szCs w:val="22"/>
        </w:rPr>
        <w:t>Ostatní služby</w:t>
      </w:r>
      <w:r w:rsidRPr="00F63514">
        <w:rPr>
          <w:sz w:val="22"/>
          <w:szCs w:val="22"/>
        </w:rPr>
        <w:tab/>
      </w:r>
      <w:r w:rsidR="00C816F0">
        <w:rPr>
          <w:sz w:val="22"/>
          <w:szCs w:val="22"/>
        </w:rPr>
        <w:t>58 096</w:t>
      </w:r>
      <w:r w:rsidRPr="00F63514">
        <w:rPr>
          <w:sz w:val="22"/>
          <w:szCs w:val="22"/>
        </w:rPr>
        <w:tab/>
      </w:r>
      <w:r w:rsidR="00F10A4C">
        <w:rPr>
          <w:sz w:val="22"/>
          <w:szCs w:val="22"/>
        </w:rPr>
        <w:t>55</w:t>
      </w:r>
      <w:r w:rsidR="0075031D" w:rsidRPr="00F63514">
        <w:rPr>
          <w:sz w:val="22"/>
          <w:szCs w:val="22"/>
        </w:rPr>
        <w:t xml:space="preserve"> </w:t>
      </w:r>
      <w:r w:rsidR="00F10A4C">
        <w:rPr>
          <w:sz w:val="22"/>
          <w:szCs w:val="22"/>
        </w:rPr>
        <w:t>238</w:t>
      </w:r>
    </w:p>
    <w:p w:rsidR="00DE700D" w:rsidRPr="00F63514" w:rsidRDefault="00DE700D" w:rsidP="00DE700D">
      <w:pPr>
        <w:tabs>
          <w:tab w:val="right" w:pos="5812"/>
          <w:tab w:val="right" w:pos="8222"/>
        </w:tabs>
        <w:spacing w:line="288" w:lineRule="auto"/>
        <w:ind w:left="567"/>
        <w:jc w:val="both"/>
        <w:rPr>
          <w:sz w:val="22"/>
          <w:szCs w:val="22"/>
        </w:rPr>
      </w:pPr>
      <w:r w:rsidRPr="00F63514">
        <w:rPr>
          <w:sz w:val="22"/>
          <w:szCs w:val="22"/>
        </w:rPr>
        <w:t>z toho:</w:t>
      </w:r>
    </w:p>
    <w:p w:rsidR="00DE700D" w:rsidRPr="00F63514" w:rsidRDefault="00DE700D" w:rsidP="00DE700D">
      <w:pPr>
        <w:tabs>
          <w:tab w:val="right" w:pos="5812"/>
          <w:tab w:val="right" w:pos="8222"/>
        </w:tabs>
        <w:spacing w:line="288" w:lineRule="auto"/>
        <w:ind w:left="993"/>
        <w:jc w:val="both"/>
        <w:rPr>
          <w:sz w:val="22"/>
          <w:szCs w:val="22"/>
        </w:rPr>
      </w:pPr>
      <w:r w:rsidRPr="00F63514">
        <w:rPr>
          <w:sz w:val="22"/>
          <w:szCs w:val="22"/>
        </w:rPr>
        <w:t>poštovné</w:t>
      </w:r>
      <w:r w:rsidRPr="00F63514">
        <w:rPr>
          <w:sz w:val="22"/>
          <w:szCs w:val="22"/>
        </w:rPr>
        <w:tab/>
      </w:r>
      <w:r w:rsidR="00C816F0">
        <w:rPr>
          <w:sz w:val="22"/>
          <w:szCs w:val="22"/>
        </w:rPr>
        <w:t>1 423</w:t>
      </w:r>
      <w:r w:rsidRPr="00F63514">
        <w:rPr>
          <w:sz w:val="22"/>
          <w:szCs w:val="22"/>
        </w:rPr>
        <w:tab/>
      </w:r>
      <w:r w:rsidR="00F10A4C">
        <w:rPr>
          <w:sz w:val="22"/>
          <w:szCs w:val="22"/>
        </w:rPr>
        <w:t>1 506</w:t>
      </w:r>
    </w:p>
    <w:p w:rsidR="00DE700D" w:rsidRPr="00F63514" w:rsidRDefault="00DE700D" w:rsidP="00DE700D">
      <w:pPr>
        <w:tabs>
          <w:tab w:val="right" w:pos="5812"/>
          <w:tab w:val="right" w:pos="8222"/>
        </w:tabs>
        <w:spacing w:line="288" w:lineRule="auto"/>
        <w:ind w:left="993"/>
        <w:jc w:val="both"/>
        <w:rPr>
          <w:sz w:val="22"/>
          <w:szCs w:val="22"/>
        </w:rPr>
      </w:pPr>
      <w:r w:rsidRPr="00F63514">
        <w:rPr>
          <w:sz w:val="22"/>
          <w:szCs w:val="22"/>
        </w:rPr>
        <w:t>nájemné</w:t>
      </w:r>
      <w:r w:rsidRPr="00F63514">
        <w:rPr>
          <w:sz w:val="22"/>
          <w:szCs w:val="22"/>
        </w:rPr>
        <w:tab/>
      </w:r>
      <w:r w:rsidR="00C816F0">
        <w:rPr>
          <w:sz w:val="22"/>
          <w:szCs w:val="22"/>
        </w:rPr>
        <w:t>3 451</w:t>
      </w:r>
      <w:r w:rsidRPr="00F63514">
        <w:rPr>
          <w:sz w:val="22"/>
          <w:szCs w:val="22"/>
        </w:rPr>
        <w:tab/>
      </w:r>
      <w:r w:rsidR="00F10A4C">
        <w:rPr>
          <w:sz w:val="22"/>
          <w:szCs w:val="22"/>
        </w:rPr>
        <w:t>3 116</w:t>
      </w:r>
    </w:p>
    <w:p w:rsidR="00DE700D" w:rsidRPr="00F63514" w:rsidRDefault="00DE700D" w:rsidP="00DE700D">
      <w:pPr>
        <w:tabs>
          <w:tab w:val="right" w:pos="5812"/>
          <w:tab w:val="right" w:pos="8222"/>
        </w:tabs>
        <w:spacing w:line="288" w:lineRule="auto"/>
        <w:ind w:left="993"/>
        <w:jc w:val="both"/>
        <w:rPr>
          <w:sz w:val="22"/>
          <w:szCs w:val="22"/>
        </w:rPr>
      </w:pPr>
      <w:r w:rsidRPr="00F63514">
        <w:rPr>
          <w:sz w:val="22"/>
          <w:szCs w:val="22"/>
        </w:rPr>
        <w:t>úklid</w:t>
      </w:r>
      <w:r w:rsidRPr="00F63514">
        <w:rPr>
          <w:sz w:val="22"/>
          <w:szCs w:val="22"/>
        </w:rPr>
        <w:tab/>
      </w:r>
      <w:r w:rsidR="00C816F0">
        <w:rPr>
          <w:sz w:val="22"/>
          <w:szCs w:val="22"/>
        </w:rPr>
        <w:t>1 686</w:t>
      </w:r>
      <w:r w:rsidRPr="00F63514">
        <w:rPr>
          <w:sz w:val="22"/>
          <w:szCs w:val="22"/>
        </w:rPr>
        <w:tab/>
        <w:t>2 </w:t>
      </w:r>
      <w:r w:rsidR="00F10A4C">
        <w:rPr>
          <w:sz w:val="22"/>
          <w:szCs w:val="22"/>
        </w:rPr>
        <w:t>886</w:t>
      </w:r>
    </w:p>
    <w:p w:rsidR="00DE700D" w:rsidRPr="00F63514" w:rsidRDefault="00DE700D" w:rsidP="00DE700D">
      <w:pPr>
        <w:tabs>
          <w:tab w:val="right" w:pos="5812"/>
          <w:tab w:val="right" w:pos="8222"/>
        </w:tabs>
        <w:spacing w:line="288" w:lineRule="auto"/>
        <w:ind w:left="993"/>
        <w:jc w:val="both"/>
        <w:rPr>
          <w:sz w:val="22"/>
          <w:szCs w:val="22"/>
        </w:rPr>
      </w:pPr>
      <w:r w:rsidRPr="00F63514">
        <w:rPr>
          <w:sz w:val="22"/>
          <w:szCs w:val="22"/>
        </w:rPr>
        <w:t>ostraha</w:t>
      </w:r>
      <w:r w:rsidRPr="00F63514">
        <w:rPr>
          <w:sz w:val="22"/>
          <w:szCs w:val="22"/>
        </w:rPr>
        <w:tab/>
      </w:r>
      <w:r w:rsidR="00C816F0">
        <w:rPr>
          <w:sz w:val="22"/>
          <w:szCs w:val="22"/>
        </w:rPr>
        <w:t>3 041</w:t>
      </w:r>
      <w:r w:rsidR="0075031D" w:rsidRPr="00F63514">
        <w:rPr>
          <w:sz w:val="22"/>
          <w:szCs w:val="22"/>
        </w:rPr>
        <w:tab/>
      </w:r>
      <w:r w:rsidR="00F10A4C">
        <w:rPr>
          <w:sz w:val="22"/>
          <w:szCs w:val="22"/>
        </w:rPr>
        <w:t>3 041</w:t>
      </w:r>
    </w:p>
    <w:p w:rsidR="0075031D" w:rsidRPr="00F63514" w:rsidRDefault="0075031D" w:rsidP="00DE700D">
      <w:pPr>
        <w:tabs>
          <w:tab w:val="right" w:pos="5812"/>
          <w:tab w:val="right" w:pos="8222"/>
        </w:tabs>
        <w:spacing w:line="288" w:lineRule="auto"/>
        <w:ind w:left="993"/>
        <w:jc w:val="both"/>
        <w:rPr>
          <w:sz w:val="22"/>
          <w:szCs w:val="22"/>
        </w:rPr>
      </w:pPr>
      <w:r w:rsidRPr="00F63514">
        <w:rPr>
          <w:sz w:val="22"/>
          <w:szCs w:val="22"/>
        </w:rPr>
        <w:t>práce a služby – IT</w:t>
      </w:r>
      <w:r w:rsidRPr="00F63514">
        <w:rPr>
          <w:sz w:val="22"/>
          <w:szCs w:val="22"/>
        </w:rPr>
        <w:tab/>
      </w:r>
      <w:r w:rsidR="00C816F0">
        <w:rPr>
          <w:sz w:val="22"/>
          <w:szCs w:val="22"/>
        </w:rPr>
        <w:t>3 412</w:t>
      </w:r>
      <w:r w:rsidRPr="00F63514">
        <w:rPr>
          <w:sz w:val="22"/>
          <w:szCs w:val="22"/>
        </w:rPr>
        <w:tab/>
      </w:r>
      <w:r w:rsidR="00F10A4C">
        <w:rPr>
          <w:sz w:val="22"/>
          <w:szCs w:val="22"/>
        </w:rPr>
        <w:t>3 432</w:t>
      </w:r>
    </w:p>
    <w:p w:rsidR="00DE700D" w:rsidRPr="00F63514" w:rsidRDefault="0075031D" w:rsidP="00DE700D">
      <w:pPr>
        <w:tabs>
          <w:tab w:val="right" w:pos="5812"/>
          <w:tab w:val="right" w:pos="8222"/>
        </w:tabs>
        <w:spacing w:line="288" w:lineRule="auto"/>
        <w:ind w:left="993"/>
        <w:jc w:val="both"/>
        <w:rPr>
          <w:sz w:val="22"/>
          <w:szCs w:val="22"/>
        </w:rPr>
      </w:pPr>
      <w:r w:rsidRPr="00F63514">
        <w:rPr>
          <w:sz w:val="22"/>
          <w:szCs w:val="22"/>
        </w:rPr>
        <w:t>ubytování</w:t>
      </w:r>
      <w:r w:rsidRPr="00F63514">
        <w:rPr>
          <w:sz w:val="22"/>
          <w:szCs w:val="22"/>
        </w:rPr>
        <w:tab/>
      </w:r>
      <w:r w:rsidR="00C816F0">
        <w:rPr>
          <w:sz w:val="22"/>
          <w:szCs w:val="22"/>
        </w:rPr>
        <w:t>2 920</w:t>
      </w:r>
      <w:r w:rsidRPr="00F63514">
        <w:rPr>
          <w:sz w:val="22"/>
          <w:szCs w:val="22"/>
        </w:rPr>
        <w:tab/>
        <w:t>2 </w:t>
      </w:r>
      <w:r w:rsidR="00F10A4C">
        <w:rPr>
          <w:sz w:val="22"/>
          <w:szCs w:val="22"/>
        </w:rPr>
        <w:t>900</w:t>
      </w:r>
    </w:p>
    <w:p w:rsidR="0075031D" w:rsidRPr="00F63514" w:rsidRDefault="0075031D" w:rsidP="00DE700D">
      <w:pPr>
        <w:tabs>
          <w:tab w:val="right" w:pos="5812"/>
          <w:tab w:val="right" w:pos="8222"/>
        </w:tabs>
        <w:spacing w:line="288" w:lineRule="auto"/>
        <w:ind w:left="993"/>
        <w:jc w:val="both"/>
        <w:rPr>
          <w:sz w:val="22"/>
          <w:szCs w:val="22"/>
        </w:rPr>
      </w:pPr>
      <w:r w:rsidRPr="00F63514">
        <w:rPr>
          <w:sz w:val="22"/>
          <w:szCs w:val="22"/>
        </w:rPr>
        <w:t>jízdné</w:t>
      </w:r>
      <w:r w:rsidRPr="00F63514">
        <w:rPr>
          <w:sz w:val="22"/>
          <w:szCs w:val="22"/>
        </w:rPr>
        <w:tab/>
      </w:r>
      <w:r w:rsidR="00C816F0">
        <w:rPr>
          <w:sz w:val="22"/>
          <w:szCs w:val="22"/>
        </w:rPr>
        <w:t>4 619</w:t>
      </w:r>
      <w:r w:rsidRPr="00F63514">
        <w:rPr>
          <w:sz w:val="22"/>
          <w:szCs w:val="22"/>
        </w:rPr>
        <w:tab/>
      </w:r>
      <w:r w:rsidR="00F10A4C">
        <w:rPr>
          <w:sz w:val="22"/>
          <w:szCs w:val="22"/>
        </w:rPr>
        <w:t>4 876</w:t>
      </w:r>
    </w:p>
    <w:p w:rsidR="0075031D" w:rsidRPr="00F63514" w:rsidRDefault="0075031D" w:rsidP="00DE700D">
      <w:pPr>
        <w:tabs>
          <w:tab w:val="right" w:pos="5812"/>
          <w:tab w:val="right" w:pos="8222"/>
        </w:tabs>
        <w:spacing w:line="288" w:lineRule="auto"/>
        <w:ind w:left="993"/>
        <w:jc w:val="both"/>
        <w:rPr>
          <w:sz w:val="22"/>
          <w:szCs w:val="22"/>
        </w:rPr>
      </w:pPr>
      <w:r w:rsidRPr="00F63514">
        <w:rPr>
          <w:sz w:val="22"/>
          <w:szCs w:val="22"/>
        </w:rPr>
        <w:t>ediční náklady</w:t>
      </w:r>
      <w:r w:rsidRPr="00F63514">
        <w:rPr>
          <w:sz w:val="22"/>
          <w:szCs w:val="22"/>
        </w:rPr>
        <w:tab/>
      </w:r>
      <w:r w:rsidR="00C816F0">
        <w:rPr>
          <w:sz w:val="22"/>
          <w:szCs w:val="22"/>
        </w:rPr>
        <w:t>9 063</w:t>
      </w:r>
      <w:r w:rsidRPr="00F63514">
        <w:rPr>
          <w:sz w:val="22"/>
          <w:szCs w:val="22"/>
        </w:rPr>
        <w:tab/>
      </w:r>
      <w:r w:rsidR="00710A2D">
        <w:rPr>
          <w:sz w:val="22"/>
          <w:szCs w:val="22"/>
        </w:rPr>
        <w:t>5 495</w:t>
      </w:r>
    </w:p>
    <w:p w:rsidR="00E11D46" w:rsidRPr="00F63514" w:rsidRDefault="00E11D46" w:rsidP="00593F0F">
      <w:pPr>
        <w:pBdr>
          <w:top w:val="single" w:sz="4" w:space="1" w:color="auto"/>
        </w:pBdr>
        <w:spacing w:line="288" w:lineRule="auto"/>
        <w:jc w:val="both"/>
        <w:rPr>
          <w:sz w:val="24"/>
          <w:szCs w:val="24"/>
        </w:rPr>
      </w:pPr>
    </w:p>
    <w:p w:rsidR="00B528DE" w:rsidRPr="00F63514" w:rsidRDefault="00C53B2A" w:rsidP="00B528DE">
      <w:pPr>
        <w:pStyle w:val="Zkladntext"/>
      </w:pPr>
      <w:r>
        <w:t>Hodnota o</w:t>
      </w:r>
      <w:r w:rsidR="00E11E7D" w:rsidRPr="00F63514">
        <w:t>dpis</w:t>
      </w:r>
      <w:r>
        <w:t>ů</w:t>
      </w:r>
      <w:r w:rsidR="00E11E7D" w:rsidRPr="00F63514">
        <w:t xml:space="preserve"> </w:t>
      </w:r>
      <w:r>
        <w:t xml:space="preserve">dlouhodobého </w:t>
      </w:r>
      <w:r w:rsidR="00E72317">
        <w:t xml:space="preserve">majetku </w:t>
      </w:r>
      <w:r>
        <w:t>vytvořených v roce 2013 zůstala na úrovni roku 2012</w:t>
      </w:r>
      <w:r w:rsidR="00E72317">
        <w:t xml:space="preserve"> </w:t>
      </w:r>
      <w:r>
        <w:t>a činila 23 682 tis. Kč (zvýšení jen o 169 tis. Kč). O</w:t>
      </w:r>
      <w:r w:rsidR="004F5E30" w:rsidRPr="00F63514">
        <w:t xml:space="preserve">dpisy majetku pořízeného z dotace </w:t>
      </w:r>
      <w:r>
        <w:t xml:space="preserve">dosáhly výše </w:t>
      </w:r>
      <w:r w:rsidR="00E72317">
        <w:t>13 034</w:t>
      </w:r>
      <w:r w:rsidR="004F5E30" w:rsidRPr="00F63514">
        <w:t xml:space="preserve"> tis. Kč, odpis</w:t>
      </w:r>
      <w:r>
        <w:t>y</w:t>
      </w:r>
      <w:r w:rsidR="004F5E30" w:rsidRPr="00F63514">
        <w:t xml:space="preserve"> majetku pořízeného z fondu reprodukce investičního majetku </w:t>
      </w:r>
      <w:r>
        <w:t xml:space="preserve">činily </w:t>
      </w:r>
      <w:r w:rsidR="00710A2D">
        <w:t xml:space="preserve">10 </w:t>
      </w:r>
      <w:r w:rsidR="00E72317">
        <w:t>648</w:t>
      </w:r>
      <w:r w:rsidR="004F5E30" w:rsidRPr="00F63514">
        <w:t xml:space="preserve"> tis. Kč.</w:t>
      </w:r>
    </w:p>
    <w:p w:rsidR="000F424D" w:rsidRPr="00F63514" w:rsidRDefault="000F424D">
      <w:pPr>
        <w:pStyle w:val="Zkladntext"/>
        <w:tabs>
          <w:tab w:val="left" w:pos="3780"/>
          <w:tab w:val="left" w:pos="5580"/>
          <w:tab w:val="left" w:pos="7200"/>
        </w:tabs>
        <w:rPr>
          <w:b/>
          <w:bCs/>
          <w:szCs w:val="24"/>
        </w:rPr>
      </w:pPr>
    </w:p>
    <w:p w:rsidR="00D675D4" w:rsidRPr="00F63514" w:rsidRDefault="006811D0">
      <w:pPr>
        <w:pStyle w:val="Zkladntext"/>
        <w:tabs>
          <w:tab w:val="left" w:pos="3780"/>
          <w:tab w:val="left" w:pos="5580"/>
          <w:tab w:val="left" w:pos="7200"/>
        </w:tabs>
        <w:rPr>
          <w:bCs/>
          <w:szCs w:val="24"/>
        </w:rPr>
      </w:pPr>
      <w:r w:rsidRPr="00F63514">
        <w:rPr>
          <w:bCs/>
          <w:szCs w:val="24"/>
        </w:rPr>
        <w:t xml:space="preserve">Vnitroorganizační náklady činily </w:t>
      </w:r>
      <w:r w:rsidR="00C53B2A">
        <w:rPr>
          <w:bCs/>
          <w:szCs w:val="24"/>
        </w:rPr>
        <w:t>17 825</w:t>
      </w:r>
      <w:r w:rsidRPr="00F63514">
        <w:rPr>
          <w:bCs/>
          <w:szCs w:val="24"/>
        </w:rPr>
        <w:t xml:space="preserve"> tis. Kč (v roce 201</w:t>
      </w:r>
      <w:r w:rsidR="00C53B2A">
        <w:rPr>
          <w:bCs/>
          <w:szCs w:val="24"/>
        </w:rPr>
        <w:t>2</w:t>
      </w:r>
      <w:r w:rsidRPr="00F63514">
        <w:rPr>
          <w:bCs/>
          <w:szCs w:val="24"/>
        </w:rPr>
        <w:t xml:space="preserve">: </w:t>
      </w:r>
      <w:r w:rsidR="00C53B2A">
        <w:rPr>
          <w:bCs/>
          <w:szCs w:val="24"/>
        </w:rPr>
        <w:t>18 384</w:t>
      </w:r>
      <w:r w:rsidRPr="00F63514">
        <w:rPr>
          <w:bCs/>
          <w:szCs w:val="24"/>
        </w:rPr>
        <w:t xml:space="preserve"> tis. Kč).</w:t>
      </w:r>
    </w:p>
    <w:p w:rsidR="006811D0" w:rsidRPr="00F63514" w:rsidRDefault="006811D0">
      <w:pPr>
        <w:pStyle w:val="Zkladntext"/>
        <w:tabs>
          <w:tab w:val="left" w:pos="3780"/>
          <w:tab w:val="left" w:pos="5580"/>
          <w:tab w:val="left" w:pos="7200"/>
        </w:tabs>
        <w:rPr>
          <w:bCs/>
          <w:szCs w:val="24"/>
        </w:rPr>
      </w:pPr>
    </w:p>
    <w:p w:rsidR="000A38E3" w:rsidRDefault="000A38E3">
      <w:pPr>
        <w:pStyle w:val="Zkladntext"/>
        <w:tabs>
          <w:tab w:val="left" w:pos="3780"/>
          <w:tab w:val="left" w:pos="5580"/>
          <w:tab w:val="left" w:pos="7200"/>
        </w:tabs>
        <w:rPr>
          <w:bCs/>
          <w:szCs w:val="24"/>
        </w:rPr>
      </w:pPr>
    </w:p>
    <w:p w:rsidR="009553A6" w:rsidRPr="00710A2D" w:rsidRDefault="009553A6" w:rsidP="0083621E">
      <w:pPr>
        <w:pStyle w:val="Zkladntextodsazen"/>
        <w:numPr>
          <w:ilvl w:val="0"/>
          <w:numId w:val="36"/>
        </w:numPr>
        <w:tabs>
          <w:tab w:val="left" w:pos="851"/>
        </w:tabs>
        <w:ind w:left="0" w:firstLine="0"/>
        <w:rPr>
          <w:bCs/>
        </w:rPr>
      </w:pPr>
      <w:r w:rsidRPr="00710A2D">
        <w:rPr>
          <w:b/>
          <w:bCs/>
        </w:rPr>
        <w:lastRenderedPageBreak/>
        <w:t>Vývoj fondů veřejné vysoké školy</w:t>
      </w:r>
    </w:p>
    <w:p w:rsidR="009553A6" w:rsidRPr="00710A2D" w:rsidRDefault="009553A6" w:rsidP="009553A6">
      <w:pPr>
        <w:rPr>
          <w:sz w:val="24"/>
          <w:szCs w:val="24"/>
        </w:rPr>
      </w:pPr>
    </w:p>
    <w:p w:rsidR="00795644" w:rsidRDefault="009553A6" w:rsidP="009553A6">
      <w:pPr>
        <w:pStyle w:val="Zkladntext"/>
      </w:pPr>
      <w:r w:rsidRPr="00710A2D">
        <w:t>Stav fondů k 31. 12. 201</w:t>
      </w:r>
      <w:r w:rsidR="00362B8C">
        <w:t>3</w:t>
      </w:r>
      <w:r w:rsidRPr="00710A2D">
        <w:t xml:space="preserve"> činí </w:t>
      </w:r>
      <w:r w:rsidR="00362B8C">
        <w:t>66 424</w:t>
      </w:r>
      <w:r w:rsidRPr="00710A2D">
        <w:t xml:space="preserve"> tis. Kč a proti roku 201</w:t>
      </w:r>
      <w:r w:rsidR="00362B8C">
        <w:t>2</w:t>
      </w:r>
      <w:r w:rsidRPr="00710A2D">
        <w:t xml:space="preserve"> se </w:t>
      </w:r>
      <w:r w:rsidR="00362B8C">
        <w:t xml:space="preserve">snížil </w:t>
      </w:r>
      <w:r w:rsidRPr="00710A2D">
        <w:t xml:space="preserve">o celkem </w:t>
      </w:r>
      <w:r w:rsidR="00795644">
        <w:t>8 770</w:t>
      </w:r>
      <w:r w:rsidR="00362B8C">
        <w:t xml:space="preserve"> </w:t>
      </w:r>
      <w:r w:rsidRPr="00710A2D">
        <w:t>tis. Kč</w:t>
      </w:r>
      <w:r w:rsidR="001D7C70">
        <w:t>.</w:t>
      </w:r>
      <w:r w:rsidR="00795644">
        <w:rPr>
          <w:rStyle w:val="Znakapoznpodarou"/>
        </w:rPr>
        <w:footnoteReference w:id="1"/>
      </w:r>
      <w:r w:rsidRPr="00710A2D">
        <w:t xml:space="preserve"> Na </w:t>
      </w:r>
      <w:r w:rsidR="00362B8C">
        <w:t xml:space="preserve">snížení </w:t>
      </w:r>
      <w:r w:rsidRPr="00710A2D">
        <w:t xml:space="preserve">se </w:t>
      </w:r>
      <w:r w:rsidR="00362B8C">
        <w:t xml:space="preserve">podílí stipendijní </w:t>
      </w:r>
      <w:r w:rsidRPr="00710A2D">
        <w:t>fond (</w:t>
      </w:r>
      <w:r w:rsidR="00362B8C">
        <w:t>snížení o</w:t>
      </w:r>
      <w:r w:rsidRPr="00710A2D">
        <w:t xml:space="preserve"> </w:t>
      </w:r>
      <w:r w:rsidR="00362B8C">
        <w:t xml:space="preserve">13 819 </w:t>
      </w:r>
      <w:r w:rsidRPr="00710A2D">
        <w:t>tis. Kč)</w:t>
      </w:r>
      <w:r w:rsidR="00362B8C">
        <w:t>,</w:t>
      </w:r>
      <w:r w:rsidRPr="00710A2D">
        <w:t xml:space="preserve"> </w:t>
      </w:r>
      <w:r w:rsidR="00362B8C">
        <w:t xml:space="preserve">sociální </w:t>
      </w:r>
      <w:r w:rsidRPr="00710A2D">
        <w:t>fond (</w:t>
      </w:r>
      <w:r w:rsidR="00362B8C">
        <w:t>snížení o 1 256</w:t>
      </w:r>
      <w:r w:rsidRPr="00710A2D">
        <w:t xml:space="preserve"> tis. Kč)</w:t>
      </w:r>
      <w:r w:rsidR="00362B8C">
        <w:t xml:space="preserve"> a fond provozních prostředků (snížení o </w:t>
      </w:r>
      <w:r w:rsidR="00795644">
        <w:t xml:space="preserve">5 481 </w:t>
      </w:r>
      <w:r w:rsidR="00362B8C">
        <w:t>tis. Kč), rostly naopak zůstatky fondu reprodukce investičního majetku (zvýšení o 6 111 tis. Kč)</w:t>
      </w:r>
      <w:r w:rsidR="00795644">
        <w:t xml:space="preserve"> a fondu účelově určených prostředků (zvýšení o 5 674 tis. Kč)</w:t>
      </w:r>
      <w:r w:rsidRPr="00710A2D">
        <w:t xml:space="preserve">. </w:t>
      </w:r>
    </w:p>
    <w:p w:rsidR="00795644" w:rsidRDefault="00795644" w:rsidP="009553A6">
      <w:pPr>
        <w:pStyle w:val="Zkladntext"/>
      </w:pPr>
    </w:p>
    <w:p w:rsidR="009553A6" w:rsidRPr="00710A2D" w:rsidRDefault="009553A6" w:rsidP="009553A6">
      <w:pPr>
        <w:pStyle w:val="Zkladntext"/>
      </w:pPr>
      <w:r w:rsidRPr="00710A2D">
        <w:t xml:space="preserve">Tvorba fondů dosáhla celkově hodnoty </w:t>
      </w:r>
      <w:r w:rsidR="00705765">
        <w:t>60 780</w:t>
      </w:r>
      <w:r w:rsidRPr="00710A2D">
        <w:t xml:space="preserve"> tis. Kč. </w:t>
      </w:r>
      <w:r w:rsidR="007446FC">
        <w:t xml:space="preserve">Přibližně </w:t>
      </w:r>
      <w:r w:rsidRPr="00710A2D">
        <w:t>třetinově se na tvorbě podílí stipendijní fond (</w:t>
      </w:r>
      <w:r w:rsidR="007446FC">
        <w:t xml:space="preserve">19 227 </w:t>
      </w:r>
      <w:r w:rsidRPr="00710A2D">
        <w:t xml:space="preserve">tis. Kč) a necelými </w:t>
      </w:r>
      <w:r w:rsidR="007446FC">
        <w:t xml:space="preserve">dvaceti </w:t>
      </w:r>
      <w:r w:rsidRPr="00710A2D">
        <w:t>procenty tvorba fondu provozních prostředků (</w:t>
      </w:r>
      <w:r w:rsidR="007446FC">
        <w:t xml:space="preserve">12 491 </w:t>
      </w:r>
      <w:r w:rsidRPr="00710A2D">
        <w:t xml:space="preserve">tis. Kč). Fondy byly čerpány v celkové výši </w:t>
      </w:r>
      <w:r w:rsidR="007446FC">
        <w:t xml:space="preserve">71 550 </w:t>
      </w:r>
      <w:r w:rsidRPr="00710A2D">
        <w:t xml:space="preserve">tis. Kč. Nejvíce byl čerpán fond stipendijní, </w:t>
      </w:r>
      <w:r w:rsidR="007446FC">
        <w:t xml:space="preserve">33 046 </w:t>
      </w:r>
      <w:r w:rsidRPr="00710A2D">
        <w:t>tis. Kč (</w:t>
      </w:r>
      <w:r w:rsidR="007446FC">
        <w:t xml:space="preserve">téměř </w:t>
      </w:r>
      <w:r w:rsidRPr="00710A2D">
        <w:t>polovina čerpání všech fondů).</w:t>
      </w:r>
    </w:p>
    <w:p w:rsidR="009553A6" w:rsidRPr="00710A2D" w:rsidRDefault="009553A6">
      <w:pPr>
        <w:pStyle w:val="Zkladntext"/>
        <w:tabs>
          <w:tab w:val="left" w:pos="3780"/>
          <w:tab w:val="left" w:pos="5580"/>
          <w:tab w:val="left" w:pos="7200"/>
        </w:tabs>
        <w:rPr>
          <w:bCs/>
          <w:szCs w:val="24"/>
        </w:rPr>
      </w:pPr>
    </w:p>
    <w:p w:rsidR="009553A6" w:rsidRPr="00710A2D" w:rsidRDefault="009553A6" w:rsidP="009553A6">
      <w:pPr>
        <w:pStyle w:val="Zkladntext"/>
      </w:pPr>
      <w:r w:rsidRPr="00710A2D">
        <w:t>Rezervní fond nezaznamenal v roce 201</w:t>
      </w:r>
      <w:r w:rsidR="007446FC">
        <w:t>3</w:t>
      </w:r>
      <w:r w:rsidRPr="00710A2D">
        <w:t xml:space="preserve"> žádné pohyby.</w:t>
      </w:r>
    </w:p>
    <w:p w:rsidR="009553A6" w:rsidRPr="00710A2D" w:rsidRDefault="009553A6" w:rsidP="009553A6">
      <w:pPr>
        <w:pStyle w:val="Zkladntext"/>
      </w:pPr>
    </w:p>
    <w:p w:rsidR="009553A6" w:rsidRPr="00710A2D" w:rsidRDefault="009553A6" w:rsidP="009553A6">
      <w:pPr>
        <w:pStyle w:val="Zkladntext"/>
      </w:pPr>
      <w:r w:rsidRPr="00710A2D">
        <w:t xml:space="preserve">Tvorba FRIM činila </w:t>
      </w:r>
      <w:r w:rsidR="00705765">
        <w:t>14 357</w:t>
      </w:r>
      <w:r w:rsidR="000826CB">
        <w:t xml:space="preserve"> </w:t>
      </w:r>
      <w:r w:rsidRPr="00710A2D">
        <w:t xml:space="preserve">tis. Kč, zatímco čerpání </w:t>
      </w:r>
      <w:r w:rsidR="000826CB">
        <w:t xml:space="preserve">8 247 </w:t>
      </w:r>
      <w:r w:rsidRPr="00710A2D">
        <w:t xml:space="preserve">tis. Kč. Důvodem nižšího čerpání byla především možnost využít pro investiční činnost a související náklady </w:t>
      </w:r>
      <w:r w:rsidR="000826CB">
        <w:t>investiční část příspěvku na vzdělávací činnost (</w:t>
      </w:r>
      <w:r w:rsidR="000657BD">
        <w:t xml:space="preserve">investiční část ve výši </w:t>
      </w:r>
      <w:r w:rsidR="000826CB">
        <w:t>12 350 tis. Kč)</w:t>
      </w:r>
      <w:r w:rsidRPr="00710A2D">
        <w:t xml:space="preserve">. Zvýšení zůstatku fondu umožní </w:t>
      </w:r>
      <w:r w:rsidR="000826CB">
        <w:t xml:space="preserve">udržet </w:t>
      </w:r>
      <w:r w:rsidRPr="00710A2D">
        <w:t>zvýš</w:t>
      </w:r>
      <w:r w:rsidR="000826CB">
        <w:t>ený</w:t>
      </w:r>
      <w:r w:rsidRPr="00710A2D">
        <w:t xml:space="preserve"> objem investic </w:t>
      </w:r>
      <w:r w:rsidR="000826CB">
        <w:t xml:space="preserve">do fakultní infrastruktury i </w:t>
      </w:r>
      <w:r w:rsidRPr="00710A2D">
        <w:t>v</w:t>
      </w:r>
      <w:r w:rsidR="000826CB">
        <w:t xml:space="preserve"> následujícím </w:t>
      </w:r>
      <w:r w:rsidR="007421B6">
        <w:t>roce</w:t>
      </w:r>
      <w:r w:rsidRPr="00710A2D">
        <w:t>.</w:t>
      </w:r>
    </w:p>
    <w:p w:rsidR="009553A6" w:rsidRPr="00710A2D" w:rsidRDefault="009553A6" w:rsidP="009553A6">
      <w:pPr>
        <w:pStyle w:val="Zkladntext"/>
      </w:pPr>
    </w:p>
    <w:p w:rsidR="009553A6" w:rsidRPr="00710A2D" w:rsidRDefault="009553A6" w:rsidP="009553A6">
      <w:pPr>
        <w:pStyle w:val="Zkladntext"/>
      </w:pPr>
      <w:r w:rsidRPr="00710A2D">
        <w:t>Čerpání stipendijního fondu v roce 201</w:t>
      </w:r>
      <w:r w:rsidR="000826CB">
        <w:t>3</w:t>
      </w:r>
      <w:r w:rsidRPr="00710A2D">
        <w:t xml:space="preserve"> plánovaně </w:t>
      </w:r>
      <w:r w:rsidR="000826CB">
        <w:t xml:space="preserve">výrazně </w:t>
      </w:r>
      <w:r w:rsidRPr="00710A2D">
        <w:t xml:space="preserve">přesáhlo jeho tvorbu. Jelikož v předchozích letech byla tvorba stipendijního fondu rychlejší než tempo jeho čerpání, soustředili jsme se </w:t>
      </w:r>
      <w:r w:rsidR="00E30F10">
        <w:t xml:space="preserve">i </w:t>
      </w:r>
      <w:r w:rsidRPr="00710A2D">
        <w:t>v roce 201</w:t>
      </w:r>
      <w:r w:rsidR="000826CB">
        <w:t>3</w:t>
      </w:r>
      <w:r w:rsidRPr="00710A2D">
        <w:t xml:space="preserve"> na zvýšení využití tohoto fondu. </w:t>
      </w:r>
      <w:r w:rsidR="000826CB">
        <w:t>Jak by</w:t>
      </w:r>
      <w:r w:rsidR="00E30F10">
        <w:t>l</w:t>
      </w:r>
      <w:r w:rsidR="000826CB">
        <w:t xml:space="preserve">o avizováno ve Výroční zprávě o hospodaření FF UK za rok 2012, </w:t>
      </w:r>
      <w:r w:rsidR="00E30F10">
        <w:t xml:space="preserve">cílem zvýšeného čerpání byla optimalizace </w:t>
      </w:r>
      <w:r w:rsidR="001565D9">
        <w:t xml:space="preserve">zůstatku </w:t>
      </w:r>
      <w:r w:rsidRPr="00710A2D">
        <w:t>fondu</w:t>
      </w:r>
      <w:r w:rsidR="001565D9">
        <w:t xml:space="preserve"> </w:t>
      </w:r>
      <w:r w:rsidR="00C9739C">
        <w:t>n</w:t>
      </w:r>
      <w:r w:rsidR="001565D9">
        <w:t>a konci roku</w:t>
      </w:r>
      <w:r w:rsidR="00167A47">
        <w:t>, a to</w:t>
      </w:r>
      <w:r w:rsidR="00E30F10">
        <w:t xml:space="preserve"> </w:t>
      </w:r>
      <w:r w:rsidR="002E658D">
        <w:t xml:space="preserve">na úroveň </w:t>
      </w:r>
      <w:r w:rsidR="00E30F10">
        <w:t>kolem 10 mil. Kč</w:t>
      </w:r>
      <w:r w:rsidRPr="00710A2D">
        <w:t>.</w:t>
      </w:r>
      <w:r w:rsidR="00C277C5">
        <w:t xml:space="preserve"> Zvýšené čerpání bylo využito jednak na podporu vědeckých aktivit studentů (</w:t>
      </w:r>
      <w:r w:rsidR="000945E5">
        <w:t xml:space="preserve">zvl. </w:t>
      </w:r>
      <w:r w:rsidR="00C277C5">
        <w:t>vnitřní granty, vnitřní výzkumné záměry) a dále též na podpůrné činnosti pro fakultu (</w:t>
      </w:r>
      <w:r w:rsidR="000945E5">
        <w:t xml:space="preserve">zvl. </w:t>
      </w:r>
      <w:r w:rsidR="00C277C5">
        <w:t xml:space="preserve">pomocné vědecké síly pro knihovny při realizaci retrokonverze cca ¼ mil. katalogových záznamů do elektronického katalogu). Na </w:t>
      </w:r>
      <w:r w:rsidR="0059360E">
        <w:t xml:space="preserve">rychlejším poklesu stavu fondu </w:t>
      </w:r>
      <w:r w:rsidR="00C277C5">
        <w:t xml:space="preserve">se projevilo i pozastavení vyměřování poplatků studentům na konci léta 2013 dané rozhodnutím UK z důvodu potřeby přesnějšího zakotvení výše poplatků ve Statutu univerzity. </w:t>
      </w:r>
    </w:p>
    <w:p w:rsidR="009553A6" w:rsidRPr="00710A2D" w:rsidRDefault="009553A6" w:rsidP="009553A6">
      <w:pPr>
        <w:pStyle w:val="Zkladntext"/>
      </w:pPr>
    </w:p>
    <w:p w:rsidR="009553A6" w:rsidRPr="00710A2D" w:rsidRDefault="009553A6" w:rsidP="009553A6">
      <w:pPr>
        <w:pStyle w:val="Zkladntext"/>
      </w:pPr>
      <w:r w:rsidRPr="00710A2D">
        <w:t xml:space="preserve">Fond odměn byl stejně jako v předchozích letech na nulové výši. </w:t>
      </w:r>
    </w:p>
    <w:p w:rsidR="009553A6" w:rsidRPr="00710A2D" w:rsidRDefault="009553A6" w:rsidP="009553A6">
      <w:pPr>
        <w:pStyle w:val="Zkladntext"/>
      </w:pPr>
    </w:p>
    <w:p w:rsidR="009553A6" w:rsidRPr="00710A2D" w:rsidRDefault="009553A6" w:rsidP="009553A6">
      <w:pPr>
        <w:pStyle w:val="Zkladntext"/>
      </w:pPr>
      <w:r w:rsidRPr="00710A2D">
        <w:t>Fond účelově určených prostředků se meziročně zvýšil, což souvisí především s průběžným vývojem dynamiky činností v rámci řešených víceletých grantů</w:t>
      </w:r>
      <w:r w:rsidR="003349F5">
        <w:t>, resp. použití darů</w:t>
      </w:r>
      <w:r w:rsidRPr="00710A2D">
        <w:t>.</w:t>
      </w:r>
    </w:p>
    <w:p w:rsidR="009553A6" w:rsidRPr="00710A2D" w:rsidRDefault="009553A6" w:rsidP="009553A6">
      <w:pPr>
        <w:pStyle w:val="Zkladntext"/>
      </w:pPr>
    </w:p>
    <w:p w:rsidR="009553A6" w:rsidRPr="00710A2D" w:rsidRDefault="009553A6" w:rsidP="009553A6">
      <w:pPr>
        <w:pStyle w:val="Zkladntext"/>
      </w:pPr>
      <w:r w:rsidRPr="00710A2D">
        <w:t xml:space="preserve">Čerpání sociálního fondu je dlouhodobě vyšší než jeho tvorba. To je dáno především tím, že náklady hrazené v současné době z tohoto fondu jsou víceméně fixní (příspěvky zaměstnancům v sociální oblasti), zatímco tvorba fondu se odvíjí od </w:t>
      </w:r>
      <w:r w:rsidR="003349F5">
        <w:t>aktuální výše vyplacených mezd</w:t>
      </w:r>
      <w:r w:rsidRPr="00710A2D">
        <w:t xml:space="preserve">. Tuto diskrepanci bude třeba řešit </w:t>
      </w:r>
      <w:r w:rsidR="00024B64">
        <w:t xml:space="preserve">přibližně </w:t>
      </w:r>
      <w:r w:rsidRPr="00710A2D">
        <w:t xml:space="preserve">v horizontu </w:t>
      </w:r>
      <w:r w:rsidR="00C442CD">
        <w:t xml:space="preserve">dvou </w:t>
      </w:r>
      <w:r w:rsidRPr="00710A2D">
        <w:t>let.</w:t>
      </w:r>
    </w:p>
    <w:p w:rsidR="009553A6" w:rsidRPr="00710A2D" w:rsidRDefault="009553A6" w:rsidP="009553A6">
      <w:pPr>
        <w:pStyle w:val="Zkladntext"/>
      </w:pPr>
    </w:p>
    <w:p w:rsidR="009553A6" w:rsidRPr="00751EFA" w:rsidRDefault="009553A6" w:rsidP="009553A6">
      <w:pPr>
        <w:pStyle w:val="Zkladntext"/>
      </w:pPr>
      <w:r w:rsidRPr="00710A2D">
        <w:t>Fond provozních prostředků byl v roce 201</w:t>
      </w:r>
      <w:r w:rsidR="00C442CD">
        <w:t>3</w:t>
      </w:r>
      <w:r w:rsidRPr="00710A2D">
        <w:t xml:space="preserve"> </w:t>
      </w:r>
      <w:r w:rsidR="00C442CD">
        <w:t xml:space="preserve">čerpán ve výši </w:t>
      </w:r>
      <w:r w:rsidR="00C442CD" w:rsidRPr="00710A2D">
        <w:t xml:space="preserve">17 972 tis. Kč </w:t>
      </w:r>
      <w:r w:rsidR="00C442CD">
        <w:t xml:space="preserve">(realizace provozních aktivit přesunutých z roku 2012) a </w:t>
      </w:r>
      <w:r w:rsidRPr="00710A2D">
        <w:t>vytvořen ve výši</w:t>
      </w:r>
      <w:r w:rsidR="00C442CD">
        <w:t xml:space="preserve"> 12 491 tis. Kč</w:t>
      </w:r>
      <w:r w:rsidRPr="00710A2D">
        <w:t>. Důvodem tvorby bylo nutné odložení některých plánovaných akcí na rok 201</w:t>
      </w:r>
      <w:r w:rsidR="00C442CD">
        <w:t xml:space="preserve">4 a to především v souvislosti s připravovanou realizací projektu OP VaVpI. Necelých 10 % tvorby fondu připadá na zůstatek příspěvku na doktorandská stipendia, který díky změně </w:t>
      </w:r>
      <w:r w:rsidR="00A569BA">
        <w:t xml:space="preserve">univerzitní </w:t>
      </w:r>
      <w:r w:rsidR="00C442CD">
        <w:t xml:space="preserve">metodiky přiznávání a vyplácení těchto stipendií </w:t>
      </w:r>
      <w:r w:rsidR="00DB1F9A">
        <w:t>na podzim 2013 bude vyplacen až v zimě 2014.</w:t>
      </w:r>
    </w:p>
    <w:p w:rsidR="009553A6" w:rsidRPr="00F63514" w:rsidRDefault="009553A6" w:rsidP="009553A6">
      <w:pPr>
        <w:pStyle w:val="Zkladntextodsazen"/>
        <w:ind w:left="0"/>
        <w:rPr>
          <w:b/>
          <w:bCs/>
        </w:rPr>
      </w:pPr>
    </w:p>
    <w:p w:rsidR="00246463" w:rsidRPr="00F63514" w:rsidRDefault="00246463">
      <w:pPr>
        <w:pStyle w:val="Zkladntextodsazen"/>
        <w:ind w:left="0"/>
        <w:rPr>
          <w:b/>
          <w:bCs/>
        </w:rPr>
      </w:pPr>
    </w:p>
    <w:p w:rsidR="00716F76" w:rsidRPr="00710A2D" w:rsidRDefault="00716F76" w:rsidP="0083621E">
      <w:pPr>
        <w:pStyle w:val="Zkladntextodsazen"/>
        <w:numPr>
          <w:ilvl w:val="0"/>
          <w:numId w:val="36"/>
        </w:numPr>
        <w:tabs>
          <w:tab w:val="left" w:pos="851"/>
        </w:tabs>
        <w:ind w:left="0" w:firstLine="0"/>
      </w:pPr>
      <w:r w:rsidRPr="00710A2D">
        <w:rPr>
          <w:b/>
          <w:bCs/>
        </w:rPr>
        <w:t>Stav a pohyb majetku a závazků</w:t>
      </w:r>
      <w:r w:rsidRPr="00710A2D">
        <w:t xml:space="preserve">  </w:t>
      </w:r>
    </w:p>
    <w:p w:rsidR="00246463" w:rsidRPr="00710A2D" w:rsidRDefault="00246463" w:rsidP="00246463">
      <w:pPr>
        <w:pStyle w:val="Zkladntext"/>
      </w:pPr>
    </w:p>
    <w:p w:rsidR="00246463" w:rsidRPr="00710A2D" w:rsidRDefault="00182C86" w:rsidP="0083621E">
      <w:pPr>
        <w:pStyle w:val="Zkladntext"/>
        <w:numPr>
          <w:ilvl w:val="1"/>
          <w:numId w:val="36"/>
        </w:numPr>
        <w:tabs>
          <w:tab w:val="clear" w:pos="0"/>
          <w:tab w:val="left" w:pos="851"/>
        </w:tabs>
        <w:ind w:left="0" w:hanging="11"/>
        <w:rPr>
          <w:b/>
        </w:rPr>
      </w:pPr>
      <w:r w:rsidRPr="00710A2D">
        <w:rPr>
          <w:b/>
        </w:rPr>
        <w:t>Dlouhodobý majetek</w:t>
      </w:r>
    </w:p>
    <w:p w:rsidR="00AC3D32" w:rsidRDefault="00AC3D32" w:rsidP="00246463">
      <w:pPr>
        <w:pStyle w:val="Zkladntext"/>
      </w:pPr>
    </w:p>
    <w:p w:rsidR="00C9353E" w:rsidRDefault="00C9353E" w:rsidP="00246463">
      <w:pPr>
        <w:pStyle w:val="Zkladntext"/>
      </w:pPr>
      <w:r>
        <w:t>a)</w:t>
      </w:r>
    </w:p>
    <w:p w:rsidR="005B780D" w:rsidRDefault="008B6256" w:rsidP="00246463">
      <w:pPr>
        <w:pStyle w:val="Zkladntext"/>
      </w:pPr>
      <w:r>
        <w:t xml:space="preserve">V roce 2013 byl </w:t>
      </w:r>
      <w:r w:rsidR="008036DF">
        <w:t>pořízen</w:t>
      </w:r>
      <w:r>
        <w:t xml:space="preserve"> majetek </w:t>
      </w:r>
      <w:r w:rsidR="008036DF">
        <w:t>v hodnotě</w:t>
      </w:r>
      <w:r>
        <w:t xml:space="preserve"> 24 163 tis. Kč</w:t>
      </w:r>
      <w:r w:rsidR="008036DF">
        <w:t xml:space="preserve">. Z této částky bylo </w:t>
      </w:r>
      <w:r w:rsidR="001D012B">
        <w:t>vynaloženo</w:t>
      </w:r>
      <w:r w:rsidR="008036DF">
        <w:t xml:space="preserve"> na pořízení nového dlouhodobého hmotného majetku </w:t>
      </w:r>
      <w:r w:rsidR="001D012B">
        <w:t>22 530</w:t>
      </w:r>
      <w:r w:rsidR="008036DF">
        <w:t xml:space="preserve"> tis. Kč</w:t>
      </w:r>
      <w:r w:rsidR="001D012B">
        <w:t xml:space="preserve"> a</w:t>
      </w:r>
      <w:r w:rsidR="002610EB">
        <w:t xml:space="preserve"> </w:t>
      </w:r>
      <w:r w:rsidR="008036DF">
        <w:t>na pořízení nového dlouhodobého hmotného majetku 1 </w:t>
      </w:r>
      <w:r w:rsidR="001D012B">
        <w:t>633</w:t>
      </w:r>
      <w:r w:rsidR="008036DF">
        <w:t xml:space="preserve"> tis. Kč</w:t>
      </w:r>
      <w:r w:rsidR="001D012B">
        <w:t>.</w:t>
      </w:r>
      <w:r w:rsidR="008036DF">
        <w:t xml:space="preserve"> </w:t>
      </w:r>
      <w:r w:rsidR="00263903">
        <w:t>Pořízení majetku bylo financováno převážně z veřejných zdrojů. Investiční příspěvek 12 350 tis. Kč byl celý použit na rekonstrukci prostor hlavní budovy. Z poskytnutých investičních dotací v celkové výši 3 567 tis. Kč bylo 2 000 tis. Kč použito na dofinancování rekonstrukce hlavní budovy</w:t>
      </w:r>
      <w:r w:rsidR="00692CA0">
        <w:t>, částka 1 478 tis. Kč</w:t>
      </w:r>
      <w:r w:rsidR="00263903">
        <w:t xml:space="preserve"> </w:t>
      </w:r>
      <w:r w:rsidR="00692CA0">
        <w:t>n</w:t>
      </w:r>
      <w:r w:rsidR="00263903">
        <w:t>a pořízení</w:t>
      </w:r>
      <w:r w:rsidR="00692CA0">
        <w:t xml:space="preserve"> hardware a zbývající částka 89 tis. Kč na pořízení licence.</w:t>
      </w:r>
    </w:p>
    <w:p w:rsidR="005B780D" w:rsidRDefault="005B780D" w:rsidP="00246463">
      <w:pPr>
        <w:pStyle w:val="Zkladntext"/>
      </w:pPr>
    </w:p>
    <w:p w:rsidR="00C9353E" w:rsidRDefault="00C9353E" w:rsidP="00246463">
      <w:pPr>
        <w:pStyle w:val="Zkladntext"/>
      </w:pPr>
      <w:r>
        <w:t>b)</w:t>
      </w:r>
    </w:p>
    <w:p w:rsidR="00182C86" w:rsidRPr="00710A2D" w:rsidRDefault="001D012B" w:rsidP="00246463">
      <w:pPr>
        <w:pStyle w:val="Zkladntext"/>
      </w:pPr>
      <w:r>
        <w:t>N</w:t>
      </w:r>
      <w:r w:rsidR="008D3CC1" w:rsidRPr="00710A2D">
        <w:t xml:space="preserve">edostatečná prostorová kapacita </w:t>
      </w:r>
      <w:r w:rsidR="00DF3AA6" w:rsidRPr="00710A2D">
        <w:t xml:space="preserve">pro výuku a umístění kateder a ústavů </w:t>
      </w:r>
      <w:r w:rsidR="00DE6D5C" w:rsidRPr="00710A2D">
        <w:t>nutí fakultu</w:t>
      </w:r>
      <w:r w:rsidR="008D3CC1" w:rsidRPr="00710A2D">
        <w:t xml:space="preserve"> </w:t>
      </w:r>
      <w:r w:rsidR="002C66AF">
        <w:t xml:space="preserve">nadále si </w:t>
      </w:r>
      <w:r w:rsidR="00DF3AA6" w:rsidRPr="00710A2D">
        <w:t>pronajímat dodatečné prostory. V současné době má pronajaty prostory Univerzity Karlovy v Celetné ulici 13 a 20</w:t>
      </w:r>
      <w:r w:rsidR="00470A11" w:rsidRPr="00710A2D">
        <w:t>,</w:t>
      </w:r>
      <w:r w:rsidR="00DF3AA6" w:rsidRPr="00710A2D">
        <w:t xml:space="preserve"> v Jinonicích a prostory dalších </w:t>
      </w:r>
      <w:r w:rsidR="00470A11" w:rsidRPr="00710A2D">
        <w:t>subjektů.</w:t>
      </w:r>
      <w:r w:rsidR="00DF3AA6" w:rsidRPr="00710A2D">
        <w:t xml:space="preserve"> </w:t>
      </w:r>
    </w:p>
    <w:p w:rsidR="00182C86" w:rsidRDefault="00182C86" w:rsidP="00246463">
      <w:pPr>
        <w:pStyle w:val="Zkladntext"/>
      </w:pPr>
    </w:p>
    <w:p w:rsidR="00C9353E" w:rsidRPr="00710A2D" w:rsidRDefault="00C9353E" w:rsidP="00246463">
      <w:pPr>
        <w:pStyle w:val="Zkladntext"/>
      </w:pPr>
      <w:r>
        <w:t>c)</w:t>
      </w:r>
    </w:p>
    <w:p w:rsidR="00841358" w:rsidRDefault="005C5F1D" w:rsidP="00246463">
      <w:pPr>
        <w:pStyle w:val="Zkladntext"/>
      </w:pPr>
      <w:r w:rsidRPr="00710A2D">
        <w:t>Řádná i</w:t>
      </w:r>
      <w:r w:rsidR="00841358" w:rsidRPr="00710A2D">
        <w:t xml:space="preserve">nventarizace majetku </w:t>
      </w:r>
      <w:r w:rsidRPr="00710A2D">
        <w:t xml:space="preserve">a závazků </w:t>
      </w:r>
      <w:r w:rsidR="00841358" w:rsidRPr="00710A2D">
        <w:t>byla provedena ke stavu k 30. 9. 201</w:t>
      </w:r>
      <w:r w:rsidR="00C9353E">
        <w:t>3</w:t>
      </w:r>
      <w:r w:rsidRPr="00710A2D">
        <w:t>. Fyzické a dokladové inventury provedli členové dílčích inventarizačních komisí. Na průběh inventur dohlížela ústřední inventarizační komise. Členové komisí byli jmenováni opatřením děkana 2</w:t>
      </w:r>
      <w:r w:rsidR="0034256F">
        <w:t>1</w:t>
      </w:r>
      <w:r w:rsidRPr="00710A2D">
        <w:t>/201</w:t>
      </w:r>
      <w:r w:rsidR="00C9353E">
        <w:t>3</w:t>
      </w:r>
      <w:r w:rsidRPr="00710A2D">
        <w:t>. Výsledky inventarizace jsou shrnuty v Souhrnném inventarizačním zápisu a  zápisu z jednání Ústřední inventarizační komise UK FF.</w:t>
      </w:r>
    </w:p>
    <w:p w:rsidR="004E39CD" w:rsidRPr="00F63514" w:rsidRDefault="004E39CD" w:rsidP="00246463">
      <w:pPr>
        <w:pStyle w:val="Zkladntext"/>
      </w:pPr>
    </w:p>
    <w:p w:rsidR="00AC3D32" w:rsidRPr="00F63514" w:rsidRDefault="00AC3D32" w:rsidP="0083621E">
      <w:pPr>
        <w:pStyle w:val="Zkladntext"/>
        <w:numPr>
          <w:ilvl w:val="1"/>
          <w:numId w:val="36"/>
        </w:numPr>
        <w:tabs>
          <w:tab w:val="clear" w:pos="0"/>
          <w:tab w:val="left" w:pos="851"/>
        </w:tabs>
        <w:ind w:left="0" w:firstLine="0"/>
        <w:rPr>
          <w:b/>
        </w:rPr>
      </w:pPr>
      <w:r w:rsidRPr="00F63514">
        <w:rPr>
          <w:b/>
        </w:rPr>
        <w:t>Krátkodobý</w:t>
      </w:r>
      <w:r w:rsidR="00B66B55" w:rsidRPr="00F63514">
        <w:rPr>
          <w:b/>
        </w:rPr>
        <w:t xml:space="preserve"> </w:t>
      </w:r>
      <w:r w:rsidRPr="00F63514">
        <w:rPr>
          <w:b/>
        </w:rPr>
        <w:t>majetek</w:t>
      </w:r>
    </w:p>
    <w:p w:rsidR="00AC3D32" w:rsidRPr="00F63514" w:rsidRDefault="00AC3D32">
      <w:pPr>
        <w:pStyle w:val="Zkladntext"/>
      </w:pPr>
    </w:p>
    <w:p w:rsidR="00716F76" w:rsidRPr="00F63514" w:rsidRDefault="00716F76" w:rsidP="0083621E">
      <w:pPr>
        <w:pStyle w:val="Nadpis6"/>
        <w:numPr>
          <w:ilvl w:val="2"/>
          <w:numId w:val="36"/>
        </w:numPr>
        <w:tabs>
          <w:tab w:val="left" w:pos="851"/>
        </w:tabs>
        <w:ind w:left="0" w:firstLine="0"/>
        <w:rPr>
          <w:bCs/>
          <w:spacing w:val="0"/>
        </w:rPr>
      </w:pPr>
      <w:r w:rsidRPr="00F63514">
        <w:rPr>
          <w:bCs/>
          <w:spacing w:val="0"/>
        </w:rPr>
        <w:t>Pohledávky</w:t>
      </w:r>
    </w:p>
    <w:p w:rsidR="00716F76" w:rsidRPr="00F63514" w:rsidRDefault="00716F76"/>
    <w:p w:rsidR="000327C6" w:rsidRPr="00F63514" w:rsidRDefault="00CC5878">
      <w:pPr>
        <w:pStyle w:val="Zkladntext"/>
      </w:pPr>
      <w:r w:rsidRPr="00F63514">
        <w:t>Výše</w:t>
      </w:r>
      <w:r w:rsidR="000327C6" w:rsidRPr="00F63514">
        <w:t xml:space="preserve"> celkových pohledávek </w:t>
      </w:r>
      <w:r w:rsidR="00C9353E">
        <w:t>zůstala na úrovni roku 2012</w:t>
      </w:r>
      <w:r w:rsidR="000327C6" w:rsidRPr="00F63514">
        <w:t>. Rozhodující část pohledávek tvoří pohledávky za odběrateli</w:t>
      </w:r>
      <w:r w:rsidR="00BA335E" w:rsidRPr="00BA335E">
        <w:t xml:space="preserve"> </w:t>
      </w:r>
      <w:r w:rsidR="00BA335E">
        <w:t>(2 </w:t>
      </w:r>
      <w:r w:rsidR="00705765">
        <w:t>632</w:t>
      </w:r>
      <w:r w:rsidR="00BA335E">
        <w:t xml:space="preserve"> tis. Kč) </w:t>
      </w:r>
      <w:r w:rsidR="00BA335E" w:rsidRPr="00F63514">
        <w:t>a poskytnuté provozní zálohy</w:t>
      </w:r>
      <w:r w:rsidR="00BA335E">
        <w:t xml:space="preserve"> (1 </w:t>
      </w:r>
      <w:r w:rsidR="00C9353E">
        <w:t>77</w:t>
      </w:r>
      <w:r w:rsidR="00BA335E">
        <w:t>5 tis. Kč)</w:t>
      </w:r>
      <w:r w:rsidR="000327C6" w:rsidRPr="00F63514">
        <w:t>.</w:t>
      </w:r>
    </w:p>
    <w:p w:rsidR="000327C6" w:rsidRPr="00F63514" w:rsidRDefault="000327C6">
      <w:pPr>
        <w:pStyle w:val="Zkladntext"/>
      </w:pPr>
    </w:p>
    <w:p w:rsidR="00716F76" w:rsidRPr="00F63514" w:rsidRDefault="00CC5878">
      <w:pPr>
        <w:pStyle w:val="Zkladntext"/>
      </w:pPr>
      <w:r w:rsidRPr="00F63514">
        <w:t xml:space="preserve">Z celkového objemu pohledávek </w:t>
      </w:r>
      <w:r w:rsidR="00B46F14">
        <w:t xml:space="preserve">za odběrateli </w:t>
      </w:r>
      <w:r w:rsidRPr="00F63514">
        <w:t xml:space="preserve">činí pohledávky </w:t>
      </w:r>
      <w:r w:rsidR="00B46F14">
        <w:t xml:space="preserve">do lhůty splatnosti </w:t>
      </w:r>
      <w:r w:rsidR="00C9353E">
        <w:t>510 tis</w:t>
      </w:r>
      <w:r w:rsidR="00B46F14">
        <w:t xml:space="preserve">. Kč, pohledávky po lhůtě splatnosti do 180 dnů </w:t>
      </w:r>
      <w:r w:rsidR="00C9353E">
        <w:t>454</w:t>
      </w:r>
      <w:r w:rsidR="00B46F14">
        <w:t xml:space="preserve"> tis. Kč a pohledávky po lhůtě splatnosti nad 180 </w:t>
      </w:r>
      <w:r w:rsidR="00B46F14">
        <w:lastRenderedPageBreak/>
        <w:t xml:space="preserve">dnů </w:t>
      </w:r>
      <w:r w:rsidR="00C9353E">
        <w:t>1 668 tis. Kč</w:t>
      </w:r>
      <w:r w:rsidR="007F3B40">
        <w:t xml:space="preserve">. Pohledávky jsou sledovány a upomínány. Vzhledem k tomu, že </w:t>
      </w:r>
      <w:r w:rsidR="000A24EB">
        <w:t>převážnou část tvoří pohledávky do 10 tis. Kč, je jejich vymáhání zdlouhavější.</w:t>
      </w:r>
    </w:p>
    <w:p w:rsidR="00D54BCC" w:rsidRPr="00F63514" w:rsidRDefault="00D54BCC">
      <w:pPr>
        <w:pStyle w:val="Zkladntext"/>
      </w:pPr>
    </w:p>
    <w:p w:rsidR="00B66B55" w:rsidRDefault="00E51892">
      <w:pPr>
        <w:pStyle w:val="Zkladntext"/>
      </w:pPr>
      <w:r w:rsidRPr="00F63514">
        <w:t xml:space="preserve">Pohledávky za zaměstnanci </w:t>
      </w:r>
      <w:r w:rsidR="007F3B40">
        <w:t>činí 333 tis. Kč.</w:t>
      </w:r>
      <w:r w:rsidRPr="00F63514">
        <w:t xml:space="preserve"> </w:t>
      </w:r>
    </w:p>
    <w:p w:rsidR="00B46F14" w:rsidRDefault="00B46F14">
      <w:pPr>
        <w:pStyle w:val="Zkladntext"/>
      </w:pPr>
    </w:p>
    <w:p w:rsidR="00F439BC" w:rsidRPr="00F63514" w:rsidRDefault="00F439BC">
      <w:pPr>
        <w:pStyle w:val="Zkladntext"/>
      </w:pPr>
    </w:p>
    <w:p w:rsidR="00B66B55" w:rsidRPr="00F63514" w:rsidRDefault="00B66B55" w:rsidP="0083621E">
      <w:pPr>
        <w:pStyle w:val="Zkladntext"/>
        <w:numPr>
          <w:ilvl w:val="2"/>
          <w:numId w:val="36"/>
        </w:numPr>
        <w:tabs>
          <w:tab w:val="clear" w:pos="0"/>
          <w:tab w:val="left" w:pos="851"/>
        </w:tabs>
        <w:ind w:left="0" w:firstLine="0"/>
        <w:rPr>
          <w:b/>
        </w:rPr>
      </w:pPr>
      <w:r w:rsidRPr="00F63514">
        <w:rPr>
          <w:b/>
        </w:rPr>
        <w:t>Finanční majetek</w:t>
      </w:r>
    </w:p>
    <w:p w:rsidR="00B66B55" w:rsidRPr="00F63514" w:rsidRDefault="00B66B55" w:rsidP="00B66B55">
      <w:pPr>
        <w:pStyle w:val="Zkladntext"/>
      </w:pPr>
    </w:p>
    <w:p w:rsidR="00B66B55" w:rsidRPr="00F63514" w:rsidRDefault="00B66B55" w:rsidP="00B66B55">
      <w:pPr>
        <w:pStyle w:val="Zkladntext"/>
      </w:pPr>
      <w:r w:rsidRPr="00F63514">
        <w:t xml:space="preserve">Fakulta disponovala </w:t>
      </w:r>
      <w:r w:rsidR="0080082D">
        <w:t>téměř po celé období roku</w:t>
      </w:r>
      <w:r w:rsidRPr="00F63514">
        <w:t xml:space="preserve"> 201</w:t>
      </w:r>
      <w:r w:rsidR="00C9353E">
        <w:t>3</w:t>
      </w:r>
      <w:r w:rsidR="00F170DA">
        <w:t xml:space="preserve"> </w:t>
      </w:r>
      <w:r w:rsidRPr="00F63514">
        <w:t xml:space="preserve">dostatečným </w:t>
      </w:r>
      <w:r w:rsidR="00DA67C1" w:rsidRPr="00F63514">
        <w:t>objemem</w:t>
      </w:r>
      <w:r w:rsidRPr="00F63514">
        <w:t xml:space="preserve"> prostředků na běžných účtech,</w:t>
      </w:r>
      <w:r w:rsidR="00DA67C1" w:rsidRPr="00F63514">
        <w:t xml:space="preserve"> </w:t>
      </w:r>
      <w:r w:rsidR="00F170DA">
        <w:t xml:space="preserve">který by </w:t>
      </w:r>
      <w:r w:rsidR="00DA67C1" w:rsidRPr="00F63514">
        <w:t>kryl výši zůstatku na jednotlivých fondech</w:t>
      </w:r>
      <w:r w:rsidRPr="00F63514">
        <w:t xml:space="preserve"> </w:t>
      </w:r>
      <w:r w:rsidR="00DA67C1" w:rsidRPr="00F63514">
        <w:t>a</w:t>
      </w:r>
      <w:r w:rsidRPr="00F63514">
        <w:t xml:space="preserve"> umožňoval pokrývat dočasný nesoulad mezi příjmy a výdaji v začátku roku zálohováním schválených projektů vědy a výzkumu a ostatních dotačních aktivit</w:t>
      </w:r>
      <w:r w:rsidR="00E11E7D" w:rsidRPr="00F63514">
        <w:t>.</w:t>
      </w:r>
    </w:p>
    <w:p w:rsidR="00716F76" w:rsidRPr="00F63514" w:rsidRDefault="00716F76">
      <w:pPr>
        <w:rPr>
          <w:sz w:val="24"/>
        </w:rPr>
      </w:pPr>
    </w:p>
    <w:p w:rsidR="00716F76" w:rsidRPr="00F63514" w:rsidRDefault="00716F76">
      <w:pPr>
        <w:rPr>
          <w:sz w:val="24"/>
        </w:rPr>
      </w:pPr>
    </w:p>
    <w:p w:rsidR="00716F76" w:rsidRPr="00F63514" w:rsidRDefault="00716F76" w:rsidP="0083621E">
      <w:pPr>
        <w:pStyle w:val="Nadpis6"/>
        <w:numPr>
          <w:ilvl w:val="2"/>
          <w:numId w:val="36"/>
        </w:numPr>
        <w:tabs>
          <w:tab w:val="left" w:pos="851"/>
        </w:tabs>
        <w:ind w:left="0" w:firstLine="0"/>
        <w:rPr>
          <w:bCs/>
          <w:spacing w:val="0"/>
        </w:rPr>
      </w:pPr>
      <w:r w:rsidRPr="00F63514">
        <w:rPr>
          <w:bCs/>
          <w:spacing w:val="0"/>
        </w:rPr>
        <w:t>Závazky</w:t>
      </w:r>
    </w:p>
    <w:p w:rsidR="00716F76" w:rsidRPr="00F63514" w:rsidRDefault="00716F76"/>
    <w:p w:rsidR="000A24EB" w:rsidRDefault="00E51892">
      <w:pPr>
        <w:pStyle w:val="Zkladntext"/>
      </w:pPr>
      <w:r w:rsidRPr="00F63514">
        <w:t xml:space="preserve">Fakulta nemá dlouhodobé závazky. </w:t>
      </w:r>
    </w:p>
    <w:p w:rsidR="000A24EB" w:rsidRDefault="000A24EB">
      <w:pPr>
        <w:pStyle w:val="Zkladntext"/>
      </w:pPr>
    </w:p>
    <w:p w:rsidR="00716F76" w:rsidRPr="00F63514" w:rsidRDefault="00B66B55">
      <w:pPr>
        <w:pStyle w:val="Zkladntext"/>
      </w:pPr>
      <w:r w:rsidRPr="00F63514">
        <w:t>K</w:t>
      </w:r>
      <w:r w:rsidR="00E51892" w:rsidRPr="00F63514">
        <w:t xml:space="preserve">rátkodobé závazky </w:t>
      </w:r>
      <w:r w:rsidR="000B4D60" w:rsidRPr="00F63514">
        <w:t>k 31. 12. 201</w:t>
      </w:r>
      <w:r w:rsidR="000A24EB">
        <w:t>3</w:t>
      </w:r>
      <w:r w:rsidR="000B4D60" w:rsidRPr="00F63514">
        <w:t xml:space="preserve"> </w:t>
      </w:r>
      <w:r w:rsidRPr="00F63514">
        <w:t xml:space="preserve">činí </w:t>
      </w:r>
      <w:r w:rsidR="000A24EB">
        <w:t>63 528</w:t>
      </w:r>
      <w:r w:rsidRPr="00F63514">
        <w:t xml:space="preserve"> tis. Kč</w:t>
      </w:r>
      <w:r w:rsidR="000A24EB">
        <w:t xml:space="preserve"> (59 023 tis. Kč v roce 2012)</w:t>
      </w:r>
      <w:r w:rsidRPr="00F63514">
        <w:t xml:space="preserve">. </w:t>
      </w:r>
      <w:r w:rsidR="00182C86" w:rsidRPr="00F63514">
        <w:t>Hodnota</w:t>
      </w:r>
      <w:r w:rsidR="00716F76" w:rsidRPr="00F63514">
        <w:t xml:space="preserve"> zůstatku účtu Dodavatelé </w:t>
      </w:r>
      <w:r w:rsidR="001527D6" w:rsidRPr="00F63514">
        <w:t>se proti roku 20</w:t>
      </w:r>
      <w:r w:rsidR="00182C86" w:rsidRPr="00F63514">
        <w:t>1</w:t>
      </w:r>
      <w:r w:rsidR="000A24EB">
        <w:t>2</w:t>
      </w:r>
      <w:r w:rsidR="001527D6" w:rsidRPr="00F63514">
        <w:t xml:space="preserve"> </w:t>
      </w:r>
      <w:r w:rsidR="000A24EB">
        <w:t>zvýšila</w:t>
      </w:r>
      <w:r w:rsidR="001527D6" w:rsidRPr="00F63514">
        <w:t xml:space="preserve"> o </w:t>
      </w:r>
      <w:r w:rsidR="000A24EB">
        <w:t>2 861</w:t>
      </w:r>
      <w:r w:rsidR="00182C86" w:rsidRPr="00F63514">
        <w:t xml:space="preserve"> tis</w:t>
      </w:r>
      <w:r w:rsidR="001527D6" w:rsidRPr="00F63514">
        <w:t xml:space="preserve">. Kč. Jedná se </w:t>
      </w:r>
      <w:r w:rsidR="00716F76" w:rsidRPr="00F63514">
        <w:t>převážně</w:t>
      </w:r>
      <w:r w:rsidR="001527D6" w:rsidRPr="00F63514">
        <w:t xml:space="preserve"> o</w:t>
      </w:r>
      <w:r w:rsidR="00716F76" w:rsidRPr="00F63514">
        <w:t xml:space="preserve"> došlé faktury, které nákladově patří do roku 20</w:t>
      </w:r>
      <w:r w:rsidR="001527D6" w:rsidRPr="00F63514">
        <w:t>1</w:t>
      </w:r>
      <w:r w:rsidR="000A24EB">
        <w:t>3</w:t>
      </w:r>
      <w:r w:rsidR="00716F76" w:rsidRPr="00F63514">
        <w:t>, ale splatné jsou až v roce 20</w:t>
      </w:r>
      <w:r w:rsidR="00E51892" w:rsidRPr="00F63514">
        <w:t>1</w:t>
      </w:r>
      <w:r w:rsidR="000A24EB">
        <w:t>4</w:t>
      </w:r>
      <w:r w:rsidR="00716F76" w:rsidRPr="00F63514">
        <w:t xml:space="preserve">. </w:t>
      </w:r>
    </w:p>
    <w:p w:rsidR="000B4D60" w:rsidRPr="00F63514" w:rsidRDefault="000B4D60">
      <w:pPr>
        <w:pStyle w:val="Zkladntext"/>
      </w:pPr>
    </w:p>
    <w:p w:rsidR="00716F76" w:rsidRPr="00F63514" w:rsidRDefault="00716F76">
      <w:pPr>
        <w:pStyle w:val="Zkladntext"/>
      </w:pPr>
      <w:r w:rsidRPr="00F63514">
        <w:t>Zůstatek účtu 331 představuje prosincové mzdy, které budou vyplaceny pracovníkům v lednu 20</w:t>
      </w:r>
      <w:r w:rsidR="00E51892" w:rsidRPr="00F63514">
        <w:t>1</w:t>
      </w:r>
      <w:r w:rsidR="000A24EB">
        <w:t>4</w:t>
      </w:r>
      <w:r w:rsidRPr="00F63514">
        <w:t>.</w:t>
      </w:r>
    </w:p>
    <w:p w:rsidR="00716F76" w:rsidRPr="00F63514" w:rsidRDefault="00716F76">
      <w:pPr>
        <w:pStyle w:val="Zkladntext"/>
      </w:pPr>
    </w:p>
    <w:p w:rsidR="00E51892" w:rsidRPr="00F63514" w:rsidRDefault="00E51892">
      <w:pPr>
        <w:pStyle w:val="Zkladntext"/>
      </w:pPr>
      <w:r w:rsidRPr="00F63514">
        <w:t xml:space="preserve">Zůstatky účtů </w:t>
      </w:r>
      <w:r w:rsidR="00472C22" w:rsidRPr="00F63514">
        <w:t>336 a 348 se týkají závazků k institucím a přímých daní vzniklých ze zaúčtovaných mezd za prosinec 20</w:t>
      </w:r>
      <w:r w:rsidR="001527D6" w:rsidRPr="00F63514">
        <w:t>1</w:t>
      </w:r>
      <w:r w:rsidR="000A24EB">
        <w:t>3</w:t>
      </w:r>
      <w:r w:rsidR="00472C22" w:rsidRPr="00F63514">
        <w:t xml:space="preserve"> a budou uhrazeny v lednu 201</w:t>
      </w:r>
      <w:r w:rsidR="000A24EB">
        <w:t>4</w:t>
      </w:r>
      <w:r w:rsidR="00472C22" w:rsidRPr="00F63514">
        <w:t>.</w:t>
      </w:r>
    </w:p>
    <w:p w:rsidR="00472C22" w:rsidRPr="00F63514" w:rsidRDefault="00472C22">
      <w:pPr>
        <w:pStyle w:val="Zkladntext"/>
      </w:pPr>
    </w:p>
    <w:p w:rsidR="00716F76" w:rsidRPr="00F63514" w:rsidRDefault="00716F76">
      <w:pPr>
        <w:pStyle w:val="Zkladntext"/>
      </w:pPr>
      <w:r w:rsidRPr="00F63514">
        <w:t>Zůstat</w:t>
      </w:r>
      <w:r w:rsidR="00472C22" w:rsidRPr="00F63514">
        <w:t>ek</w:t>
      </w:r>
      <w:r w:rsidRPr="00F63514">
        <w:t xml:space="preserve"> účt</w:t>
      </w:r>
      <w:r w:rsidR="00472C22" w:rsidRPr="00F63514">
        <w:t>u</w:t>
      </w:r>
      <w:r w:rsidRPr="00F63514">
        <w:t xml:space="preserve"> 346 </w:t>
      </w:r>
      <w:r w:rsidR="00472C22" w:rsidRPr="00F63514">
        <w:t xml:space="preserve">představuje </w:t>
      </w:r>
      <w:r w:rsidRPr="00F63514">
        <w:t>zejména přijaté finanční prostředky v rámci evropských projektů</w:t>
      </w:r>
      <w:r w:rsidR="000B4D60" w:rsidRPr="00F63514">
        <w:t xml:space="preserve"> a dotací ze zahraničí (</w:t>
      </w:r>
      <w:r w:rsidR="00587057">
        <w:t>7 821</w:t>
      </w:r>
      <w:r w:rsidR="000B4D60" w:rsidRPr="00F63514">
        <w:t xml:space="preserve"> tis. Kč).</w:t>
      </w:r>
    </w:p>
    <w:p w:rsidR="00716F76" w:rsidRPr="00F63514" w:rsidRDefault="00716F76">
      <w:pPr>
        <w:pStyle w:val="Zkladntext"/>
      </w:pPr>
    </w:p>
    <w:p w:rsidR="00716F76" w:rsidRPr="00F63514" w:rsidRDefault="00716F76">
      <w:pPr>
        <w:pStyle w:val="Zkladntext"/>
      </w:pPr>
      <w:r w:rsidRPr="00F63514">
        <w:t xml:space="preserve">Zůstatek účtu 379 Jiné závazky </w:t>
      </w:r>
      <w:r w:rsidR="00B54252" w:rsidRPr="00F63514">
        <w:t>tvoří</w:t>
      </w:r>
      <w:r w:rsidRPr="00F63514">
        <w:t xml:space="preserve"> zejména </w:t>
      </w:r>
      <w:r w:rsidR="00B54252" w:rsidRPr="00F63514">
        <w:t>závazky z evropských projektů</w:t>
      </w:r>
      <w:r w:rsidRPr="00F63514">
        <w:t xml:space="preserve"> (</w:t>
      </w:r>
      <w:r w:rsidR="00587057">
        <w:t>20 569</w:t>
      </w:r>
      <w:r w:rsidR="000B4D60" w:rsidRPr="00F63514">
        <w:t xml:space="preserve"> tis. </w:t>
      </w:r>
      <w:r w:rsidR="00B54252" w:rsidRPr="00F63514">
        <w:t>Kč).</w:t>
      </w:r>
    </w:p>
    <w:p w:rsidR="00716F76" w:rsidRPr="00F63514" w:rsidRDefault="00716F76">
      <w:pPr>
        <w:pStyle w:val="Zkladntext"/>
      </w:pPr>
    </w:p>
    <w:p w:rsidR="00716F76" w:rsidRPr="00F63514" w:rsidRDefault="00716F76">
      <w:pPr>
        <w:pStyle w:val="Zkladntext"/>
      </w:pPr>
      <w:r w:rsidRPr="00F63514">
        <w:t>V zůstatku úč</w:t>
      </w:r>
      <w:r w:rsidR="00535822" w:rsidRPr="00F63514">
        <w:t>tu</w:t>
      </w:r>
      <w:r w:rsidRPr="00F63514">
        <w:t xml:space="preserve"> 389 Dohadné účty pasivní jsou </w:t>
      </w:r>
      <w:r w:rsidR="00B54252" w:rsidRPr="00F63514">
        <w:t xml:space="preserve">zachyceny </w:t>
      </w:r>
      <w:r w:rsidR="00291A9A" w:rsidRPr="00F63514">
        <w:t xml:space="preserve">jak </w:t>
      </w:r>
      <w:r w:rsidR="00B54252" w:rsidRPr="00F63514">
        <w:t>nevyfakturované dodávky</w:t>
      </w:r>
      <w:r w:rsidR="00291A9A" w:rsidRPr="00F63514">
        <w:t xml:space="preserve"> za elektrickou energii, plyn a teplo, tak i </w:t>
      </w:r>
      <w:r w:rsidRPr="00F63514">
        <w:t>uskutečněné výdaje z evropských projektů, které dosud nebyly defini</w:t>
      </w:r>
      <w:r w:rsidR="000B4D60" w:rsidRPr="00F63514">
        <w:t>tivně přiznány poskytovatelem.</w:t>
      </w:r>
    </w:p>
    <w:p w:rsidR="009553A6" w:rsidRDefault="009553A6">
      <w:pPr>
        <w:pStyle w:val="Zkladntext"/>
      </w:pPr>
    </w:p>
    <w:p w:rsidR="009553A6" w:rsidRPr="00F63514" w:rsidRDefault="009553A6">
      <w:pPr>
        <w:pStyle w:val="Zkladntext"/>
      </w:pPr>
    </w:p>
    <w:p w:rsidR="00836600" w:rsidRDefault="0083660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553A6" w:rsidRPr="00F952EB" w:rsidRDefault="009553A6" w:rsidP="009553A6">
      <w:pPr>
        <w:rPr>
          <w:sz w:val="24"/>
          <w:szCs w:val="24"/>
        </w:rPr>
      </w:pPr>
      <w:r w:rsidRPr="00F952EB">
        <w:rPr>
          <w:b/>
          <w:sz w:val="24"/>
          <w:szCs w:val="24"/>
        </w:rPr>
        <w:lastRenderedPageBreak/>
        <w:t>Závěr</w:t>
      </w:r>
    </w:p>
    <w:p w:rsidR="009553A6" w:rsidRPr="00F952EB" w:rsidRDefault="009553A6" w:rsidP="009553A6">
      <w:pPr>
        <w:spacing w:line="360" w:lineRule="auto"/>
        <w:jc w:val="both"/>
        <w:rPr>
          <w:rFonts w:ascii="Arial" w:eastAsia="Arial" w:hAnsi="Arial" w:cs="Arial"/>
          <w:iCs/>
          <w:sz w:val="22"/>
          <w:szCs w:val="22"/>
          <w:lang w:eastAsia="en-US"/>
        </w:rPr>
      </w:pPr>
    </w:p>
    <w:p w:rsidR="008F00F2" w:rsidRDefault="008F00F2">
      <w:pPr>
        <w:rPr>
          <w:b/>
          <w:bCs/>
          <w:sz w:val="24"/>
        </w:rPr>
      </w:pPr>
    </w:p>
    <w:p w:rsidR="009553A6" w:rsidRPr="00F952EB" w:rsidRDefault="009553A6" w:rsidP="0083621E">
      <w:pPr>
        <w:pStyle w:val="Nadpis6"/>
        <w:numPr>
          <w:ilvl w:val="1"/>
          <w:numId w:val="36"/>
        </w:numPr>
        <w:tabs>
          <w:tab w:val="left" w:pos="851"/>
        </w:tabs>
        <w:ind w:left="0" w:hanging="11"/>
        <w:rPr>
          <w:bCs/>
          <w:spacing w:val="0"/>
        </w:rPr>
      </w:pPr>
      <w:r w:rsidRPr="00F952EB">
        <w:rPr>
          <w:bCs/>
          <w:spacing w:val="0"/>
        </w:rPr>
        <w:t>Výsledky vnitřní a vnější kontrolní činnosti</w:t>
      </w:r>
    </w:p>
    <w:p w:rsidR="009553A6" w:rsidRPr="00F952EB" w:rsidRDefault="009553A6" w:rsidP="009553A6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</w:p>
    <w:p w:rsidR="003644FD" w:rsidRDefault="009553A6" w:rsidP="009553A6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F952EB">
        <w:rPr>
          <w:rFonts w:eastAsia="Arial"/>
          <w:sz w:val="24"/>
          <w:szCs w:val="24"/>
          <w:lang w:eastAsia="en-US"/>
        </w:rPr>
        <w:t>Vnitřní kontrolní činnost na úseku hospodaření sestávala z aplikace standardních kontrolních mechanismů vyplývajících z interních a dalších předpisů. V souladu s</w:t>
      </w:r>
      <w:r w:rsidR="00931CF7">
        <w:rPr>
          <w:rFonts w:eastAsia="Arial"/>
          <w:sz w:val="24"/>
          <w:szCs w:val="24"/>
          <w:lang w:eastAsia="en-US"/>
        </w:rPr>
        <w:t> </w:t>
      </w:r>
      <w:r w:rsidRPr="00F952EB">
        <w:rPr>
          <w:rFonts w:eastAsia="Arial"/>
          <w:sz w:val="24"/>
          <w:szCs w:val="24"/>
          <w:lang w:eastAsia="en-US"/>
        </w:rPr>
        <w:t>požadavkem</w:t>
      </w:r>
      <w:r w:rsidR="00931CF7">
        <w:rPr>
          <w:rFonts w:eastAsia="Arial"/>
          <w:sz w:val="24"/>
          <w:szCs w:val="24"/>
          <w:lang w:eastAsia="en-US"/>
        </w:rPr>
        <w:t xml:space="preserve"> MŠMT byla</w:t>
      </w:r>
      <w:r w:rsidRPr="00F952EB">
        <w:rPr>
          <w:rFonts w:eastAsia="Arial"/>
          <w:sz w:val="24"/>
          <w:szCs w:val="24"/>
          <w:lang w:eastAsia="en-US"/>
        </w:rPr>
        <w:t xml:space="preserve"> </w:t>
      </w:r>
      <w:r w:rsidR="00931CF7" w:rsidRPr="00931CF7">
        <w:rPr>
          <w:rFonts w:eastAsia="Arial"/>
          <w:sz w:val="24"/>
          <w:szCs w:val="24"/>
          <w:lang w:eastAsia="en-US"/>
        </w:rPr>
        <w:t>v listopadu 2013 ustavena ad hoc revizní skupina za účelem provedení revize čerpání prostředků přidělených na řešení centralizovaných rozvojových projektů v r. 2013 (výrok skupiny: bez nálezu).</w:t>
      </w:r>
      <w:r w:rsidR="00CD28E5">
        <w:rPr>
          <w:rFonts w:eastAsia="Arial"/>
          <w:sz w:val="24"/>
          <w:szCs w:val="24"/>
          <w:lang w:eastAsia="en-US"/>
        </w:rPr>
        <w:t xml:space="preserve"> </w:t>
      </w:r>
      <w:r w:rsidR="003644FD">
        <w:rPr>
          <w:rFonts w:eastAsia="Arial"/>
          <w:sz w:val="24"/>
          <w:szCs w:val="24"/>
          <w:lang w:eastAsia="en-US"/>
        </w:rPr>
        <w:t>Inventarizace byly provedeny podle vyhlášeného plánu a nebyly zjištěny závažné nedostatky.</w:t>
      </w:r>
    </w:p>
    <w:p w:rsidR="003644FD" w:rsidRPr="00F952EB" w:rsidRDefault="003644FD" w:rsidP="009553A6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</w:p>
    <w:p w:rsidR="004E4D70" w:rsidRPr="004E4D70" w:rsidRDefault="004E4D70" w:rsidP="004E4D70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4E4D70">
        <w:rPr>
          <w:rFonts w:eastAsia="Arial"/>
          <w:sz w:val="24"/>
          <w:szCs w:val="24"/>
          <w:lang w:eastAsia="en-US"/>
        </w:rPr>
        <w:t xml:space="preserve">V roce 2013 se fakulta podrobila čtyřem </w:t>
      </w:r>
      <w:r w:rsidR="00931CF7">
        <w:rPr>
          <w:rFonts w:eastAsia="Arial"/>
          <w:sz w:val="24"/>
          <w:szCs w:val="24"/>
          <w:lang w:eastAsia="en-US"/>
        </w:rPr>
        <w:t xml:space="preserve">externím </w:t>
      </w:r>
      <w:r w:rsidRPr="004E4D70">
        <w:rPr>
          <w:rFonts w:eastAsia="Arial"/>
          <w:sz w:val="24"/>
          <w:szCs w:val="24"/>
          <w:lang w:eastAsia="en-US"/>
        </w:rPr>
        <w:t>kontrolám:</w:t>
      </w:r>
    </w:p>
    <w:p w:rsidR="004E4D70" w:rsidRPr="004E4D70" w:rsidRDefault="004E4D70" w:rsidP="004E4D70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</w:p>
    <w:p w:rsidR="004E4D70" w:rsidRPr="004E4D70" w:rsidRDefault="004E4D70" w:rsidP="004E4D70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4E4D70">
        <w:rPr>
          <w:rFonts w:eastAsia="Arial"/>
          <w:sz w:val="24"/>
          <w:szCs w:val="24"/>
          <w:lang w:eastAsia="en-US"/>
        </w:rPr>
        <w:t>Veřejnosprávní kontrola provedená Ministerstvem kultury ČR na projektu "Vytvoření a ověření systému evaluace veřejných kulturních služeb", identifikační kód DF12P01OVV036. Výsledkem kontroly byla dvě zjištění. Předmětem zjištění č. 1 bylo 12denní zpoždění v doručení zprávy za r. 2012 poskytovateli. Předmětem zjištění č. 2 byly chyby ve vyplnění tabulek vyúčtování za r. 2012. Kontrola byla uzavřena 30. 9. 2013. Kontrolním orgánem nebyla uložena opatření.</w:t>
      </w:r>
    </w:p>
    <w:p w:rsidR="004E4D70" w:rsidRPr="004E4D70" w:rsidRDefault="004E4D70" w:rsidP="004E4D70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</w:p>
    <w:p w:rsidR="004E4D70" w:rsidRPr="004E4D70" w:rsidRDefault="004E4D70" w:rsidP="004E4D70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4E4D70">
        <w:rPr>
          <w:rFonts w:eastAsia="Arial"/>
          <w:sz w:val="24"/>
          <w:szCs w:val="24"/>
          <w:lang w:eastAsia="en-US"/>
        </w:rPr>
        <w:t>Všeobecná zdravotní pojišťovna ČR vykonala kontrolu plateb pojistného na veřejné zdravotní pojištění a dodržování ostatních povinností plátce pojistného. Kontrola zjistila nesoulad stavu pojištěnců dle evidence FF UK s evidencí VZP ČR. Obě evidence byly uvedeny do souladu během realizace kontroly. Kontrola byla uzavřena 19. 11. 2013. Kontrolním orgánem nebyla uložena opatření.</w:t>
      </w:r>
    </w:p>
    <w:p w:rsidR="004E4D70" w:rsidRPr="004E4D70" w:rsidRDefault="004E4D70" w:rsidP="004E4D70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</w:p>
    <w:p w:rsidR="004E4D70" w:rsidRPr="004E4D70" w:rsidRDefault="004E4D70" w:rsidP="004E4D70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4E4D70">
        <w:rPr>
          <w:rFonts w:eastAsia="Arial"/>
          <w:sz w:val="24"/>
          <w:szCs w:val="24"/>
          <w:lang w:eastAsia="en-US"/>
        </w:rPr>
        <w:t xml:space="preserve">Finanční úřad pro hlavní město Prahu provedl kontrolu na projektu OPVK </w:t>
      </w:r>
      <w:r w:rsidR="00657D9F">
        <w:rPr>
          <w:rFonts w:eastAsia="Arial"/>
          <w:sz w:val="24"/>
          <w:szCs w:val="24"/>
          <w:lang w:eastAsia="en-US"/>
        </w:rPr>
        <w:t>„</w:t>
      </w:r>
      <w:r w:rsidRPr="004E4D70">
        <w:rPr>
          <w:rFonts w:eastAsia="Arial"/>
          <w:sz w:val="24"/>
          <w:szCs w:val="24"/>
          <w:lang w:eastAsia="en-US"/>
        </w:rPr>
        <w:t>Studium informační vědy a znalostního managementu v evropském kontextu</w:t>
      </w:r>
      <w:r w:rsidR="00657D9F">
        <w:rPr>
          <w:rFonts w:eastAsia="Arial"/>
          <w:sz w:val="24"/>
          <w:szCs w:val="24"/>
          <w:lang w:eastAsia="en-US"/>
        </w:rPr>
        <w:t>“</w:t>
      </w:r>
      <w:r w:rsidRPr="004E4D70">
        <w:rPr>
          <w:rFonts w:eastAsia="Arial"/>
          <w:sz w:val="24"/>
          <w:szCs w:val="24"/>
          <w:lang w:eastAsia="en-US"/>
        </w:rPr>
        <w:t>, reg. č. CZ.1.07/2.2.00/07.0284. Nálezem kontroly bylo zjištění úhrady nezpůsobilých nákladů z projektového účtu. Kontrola byla ukončena 19. 12. 2013. Kontrolním orgánem byl vyčíslen odvod v celkové výši 10.163,28 Kč.</w:t>
      </w:r>
    </w:p>
    <w:p w:rsidR="004E4D70" w:rsidRPr="004E4D70" w:rsidRDefault="004E4D70" w:rsidP="004E4D70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</w:p>
    <w:p w:rsidR="004E4D70" w:rsidRPr="004E4D70" w:rsidRDefault="004E4D70" w:rsidP="004E4D70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4E4D70">
        <w:rPr>
          <w:rFonts w:eastAsia="Arial"/>
          <w:sz w:val="24"/>
          <w:szCs w:val="24"/>
          <w:lang w:eastAsia="en-US"/>
        </w:rPr>
        <w:t>Magistrát hlavního města Prahy, odbor fondů EU, provedl kontrolu zaměřenou na procedurální, obsahovou a finanční strá</w:t>
      </w:r>
      <w:r w:rsidR="00657D9F">
        <w:rPr>
          <w:rFonts w:eastAsia="Arial"/>
          <w:sz w:val="24"/>
          <w:szCs w:val="24"/>
          <w:lang w:eastAsia="en-US"/>
        </w:rPr>
        <w:t>nku a průběh aktivit projektu „</w:t>
      </w:r>
      <w:r w:rsidRPr="004E4D70">
        <w:rPr>
          <w:rFonts w:eastAsia="Arial"/>
          <w:sz w:val="24"/>
          <w:szCs w:val="24"/>
          <w:lang w:eastAsia="en-US"/>
        </w:rPr>
        <w:t>Rozvoj a inovace bakalářského studia českého jazyka v Ústavu českého jazyka a teorie komunikace FF UK v Praze“. Kontrola byla zahájena již v roce 2012, ale ukončena až v roce 2013. Kontrolním orgánem nebyla uložena opatření.</w:t>
      </w:r>
    </w:p>
    <w:p w:rsidR="004E4D70" w:rsidRDefault="004E4D70" w:rsidP="009553A6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</w:p>
    <w:p w:rsidR="009553A6" w:rsidRPr="00F952EB" w:rsidRDefault="009553A6" w:rsidP="009553A6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F952EB">
        <w:rPr>
          <w:rFonts w:eastAsia="Arial"/>
          <w:sz w:val="24"/>
          <w:szCs w:val="24"/>
          <w:lang w:eastAsia="en-US"/>
        </w:rPr>
        <w:t>Výsledek provedených kontrol ukazuje na dobře nastavené procesy a kvalitní práci řešitelů a příslušných pracovišť děkanátu, díky nimž se daří minimalizovat pochybení v hospodaření s prostředky.</w:t>
      </w:r>
    </w:p>
    <w:p w:rsidR="009553A6" w:rsidRPr="00F952EB" w:rsidRDefault="009553A6" w:rsidP="009553A6">
      <w:pPr>
        <w:pStyle w:val="Nadpis6"/>
        <w:numPr>
          <w:ilvl w:val="1"/>
          <w:numId w:val="36"/>
        </w:numPr>
        <w:ind w:hanging="720"/>
        <w:rPr>
          <w:bCs/>
          <w:spacing w:val="0"/>
        </w:rPr>
      </w:pPr>
      <w:r w:rsidRPr="00F952EB">
        <w:rPr>
          <w:bCs/>
          <w:spacing w:val="0"/>
        </w:rPr>
        <w:lastRenderedPageBreak/>
        <w:t>Vyhodnocení opatření předchozího roku</w:t>
      </w:r>
    </w:p>
    <w:p w:rsidR="009553A6" w:rsidRPr="00F952EB" w:rsidRDefault="009553A6" w:rsidP="009553A6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</w:p>
    <w:p w:rsidR="009553A6" w:rsidRPr="00F952EB" w:rsidRDefault="009553A6" w:rsidP="009553A6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F952EB">
        <w:rPr>
          <w:rFonts w:eastAsia="Arial"/>
          <w:sz w:val="24"/>
          <w:szCs w:val="24"/>
          <w:lang w:eastAsia="en-US"/>
        </w:rPr>
        <w:t>Ve Výroční zprávě o hospodaření za rok 201</w:t>
      </w:r>
      <w:r w:rsidR="00EE2E40">
        <w:rPr>
          <w:rFonts w:eastAsia="Arial"/>
          <w:sz w:val="24"/>
          <w:szCs w:val="24"/>
          <w:lang w:eastAsia="en-US"/>
        </w:rPr>
        <w:t>2</w:t>
      </w:r>
      <w:r w:rsidRPr="00F952EB">
        <w:rPr>
          <w:rFonts w:eastAsia="Arial"/>
          <w:sz w:val="24"/>
          <w:szCs w:val="24"/>
          <w:lang w:eastAsia="en-US"/>
        </w:rPr>
        <w:t xml:space="preserve"> byla identifikována čtyři opatření: </w:t>
      </w:r>
    </w:p>
    <w:p w:rsidR="00EE2E40" w:rsidRPr="00F952EB" w:rsidRDefault="00EE2E40" w:rsidP="00EE2E40">
      <w:pPr>
        <w:pStyle w:val="Odstavecseseznamem"/>
        <w:numPr>
          <w:ilvl w:val="0"/>
          <w:numId w:val="37"/>
        </w:numPr>
        <w:spacing w:line="288" w:lineRule="auto"/>
        <w:jc w:val="both"/>
        <w:rPr>
          <w:rFonts w:eastAsia="Arial"/>
          <w:sz w:val="24"/>
          <w:szCs w:val="24"/>
          <w:shd w:val="solid" w:color="FFFFFF" w:fill="FFFFFF"/>
          <w:lang w:eastAsia="en-US"/>
        </w:rPr>
      </w:pPr>
      <w:r w:rsidRPr="00F952EB">
        <w:rPr>
          <w:rFonts w:eastAsia="Arial"/>
          <w:sz w:val="24"/>
          <w:szCs w:val="24"/>
          <w:shd w:val="solid" w:color="FFFFFF" w:fill="FFFFFF"/>
          <w:lang w:eastAsia="en-US"/>
        </w:rPr>
        <w:t>Vzhledem k poměrně velkému rozpětí fluktuačního pásma výnosů z příspěvku a dotace je nutno opatrně přistupovat k růstu střednědobě fixních výdajů, jako jsou náklady na energie nebo pracovní smlouvy na dobu neurčitou.</w:t>
      </w:r>
      <w:r>
        <w:rPr>
          <w:rFonts w:eastAsia="Arial"/>
          <w:sz w:val="24"/>
          <w:szCs w:val="24"/>
          <w:shd w:val="solid" w:color="FFFFFF" w:fill="FFFFFF"/>
          <w:lang w:eastAsia="en-US"/>
        </w:rPr>
        <w:t xml:space="preserve"> Vzhledem k připravované změně vnitřního mzdového předpisu UK je žádoucí, aby byl připraven a na relevantních fórech včetně hospodářské komise a AS FF UK v horizontu jednoho roku diskutován modifikovaný způsob rozpisu rozpočtu fakulty, který v sobě bude obsahovat mechanismy umožňující snazší absorpci očekávaných změn. </w:t>
      </w:r>
      <w:r>
        <w:rPr>
          <w:rFonts w:eastAsia="Arial"/>
          <w:i/>
          <w:sz w:val="24"/>
          <w:szCs w:val="24"/>
          <w:shd w:val="solid" w:color="FFFFFF" w:fill="FFFFFF"/>
          <w:lang w:eastAsia="en-US"/>
        </w:rPr>
        <w:t>... Splněno. Je připraven a na jednání AS FF UK na jaře 2014 bude spolu s návrhem rozpočtu FF UK na rok 2014 předložen</w:t>
      </w:r>
      <w:r w:rsidR="008F00F2">
        <w:rPr>
          <w:rFonts w:eastAsia="Arial"/>
          <w:i/>
          <w:sz w:val="24"/>
          <w:szCs w:val="24"/>
          <w:shd w:val="solid" w:color="FFFFFF" w:fill="FFFFFF"/>
          <w:lang w:eastAsia="en-US"/>
        </w:rPr>
        <w:t>a</w:t>
      </w:r>
      <w:r>
        <w:rPr>
          <w:rFonts w:eastAsia="Arial"/>
          <w:i/>
          <w:sz w:val="24"/>
          <w:szCs w:val="24"/>
          <w:shd w:val="solid" w:color="FFFFFF" w:fill="FFFFFF"/>
          <w:lang w:eastAsia="en-US"/>
        </w:rPr>
        <w:t xml:space="preserve"> i </w:t>
      </w:r>
      <w:r w:rsidR="008F00F2">
        <w:rPr>
          <w:rFonts w:eastAsia="Arial"/>
          <w:i/>
          <w:sz w:val="24"/>
          <w:szCs w:val="24"/>
          <w:shd w:val="solid" w:color="FFFFFF" w:fill="FFFFFF"/>
          <w:lang w:eastAsia="en-US"/>
        </w:rPr>
        <w:t>důvodová zpráva s modelem hospodářského výsledku daného roku</w:t>
      </w:r>
      <w:r>
        <w:rPr>
          <w:rFonts w:eastAsia="Arial"/>
          <w:i/>
          <w:sz w:val="24"/>
          <w:szCs w:val="24"/>
          <w:shd w:val="solid" w:color="FFFFFF" w:fill="FFFFFF"/>
          <w:lang w:eastAsia="en-US"/>
        </w:rPr>
        <w:t>.</w:t>
      </w:r>
      <w:r w:rsidR="00A90ECE">
        <w:rPr>
          <w:rFonts w:eastAsia="Arial"/>
          <w:i/>
          <w:sz w:val="24"/>
          <w:szCs w:val="24"/>
          <w:shd w:val="solid" w:color="FFFFFF" w:fill="FFFFFF"/>
          <w:lang w:eastAsia="en-US"/>
        </w:rPr>
        <w:t xml:space="preserve"> Na podzim 2013 proběhla jednání se všemi základními součástmi ohledně přípravy mzdových rozpočtů </w:t>
      </w:r>
      <w:r w:rsidR="00A6047D">
        <w:rPr>
          <w:rFonts w:eastAsia="Arial"/>
          <w:i/>
          <w:sz w:val="24"/>
          <w:szCs w:val="24"/>
          <w:shd w:val="solid" w:color="FFFFFF" w:fill="FFFFFF"/>
          <w:lang w:eastAsia="en-US"/>
        </w:rPr>
        <w:t>na rok 2014 vzhledem k</w:t>
      </w:r>
      <w:r w:rsidR="00A90ECE">
        <w:rPr>
          <w:rFonts w:eastAsia="Arial"/>
          <w:i/>
          <w:sz w:val="24"/>
          <w:szCs w:val="24"/>
          <w:shd w:val="solid" w:color="FFFFFF" w:fill="FFFFFF"/>
          <w:lang w:eastAsia="en-US"/>
        </w:rPr>
        <w:t xml:space="preserve"> novel</w:t>
      </w:r>
      <w:r w:rsidR="00A6047D">
        <w:rPr>
          <w:rFonts w:eastAsia="Arial"/>
          <w:i/>
          <w:sz w:val="24"/>
          <w:szCs w:val="24"/>
          <w:shd w:val="solid" w:color="FFFFFF" w:fill="FFFFFF"/>
          <w:lang w:eastAsia="en-US"/>
        </w:rPr>
        <w:t>e</w:t>
      </w:r>
      <w:r w:rsidR="00A90ECE">
        <w:rPr>
          <w:rFonts w:eastAsia="Arial"/>
          <w:i/>
          <w:sz w:val="24"/>
          <w:szCs w:val="24"/>
          <w:shd w:val="solid" w:color="FFFFFF" w:fill="FFFFFF"/>
          <w:lang w:eastAsia="en-US"/>
        </w:rPr>
        <w:t xml:space="preserve"> Vnitřního mzdového předpisu UK.</w:t>
      </w:r>
    </w:p>
    <w:p w:rsidR="00EE2E40" w:rsidRPr="00F952EB" w:rsidRDefault="00EE2E40" w:rsidP="00EE2E40">
      <w:pPr>
        <w:pStyle w:val="Odstavecseseznamem"/>
        <w:numPr>
          <w:ilvl w:val="0"/>
          <w:numId w:val="37"/>
        </w:numPr>
        <w:spacing w:line="288" w:lineRule="auto"/>
        <w:jc w:val="both"/>
        <w:rPr>
          <w:rFonts w:eastAsia="Arial"/>
          <w:sz w:val="24"/>
          <w:szCs w:val="24"/>
          <w:shd w:val="solid" w:color="FFFFFF" w:fill="FFFFFF"/>
          <w:lang w:eastAsia="en-US"/>
        </w:rPr>
      </w:pPr>
      <w:r w:rsidRPr="00F952EB">
        <w:rPr>
          <w:rFonts w:eastAsia="Arial"/>
          <w:sz w:val="24"/>
          <w:szCs w:val="24"/>
          <w:shd w:val="solid" w:color="FFFFFF" w:fill="FFFFFF"/>
          <w:lang w:eastAsia="en-US"/>
        </w:rPr>
        <w:t xml:space="preserve">S ohledem na potřebné vyšší tempo obnovy infrastruktury je třeba optimalizovat čerpání FRIM a investičních prostředků z dalších zdrojů především s důrazem na zvýšení tvorby </w:t>
      </w:r>
      <w:r>
        <w:rPr>
          <w:rFonts w:eastAsia="Arial"/>
          <w:sz w:val="24"/>
          <w:szCs w:val="24"/>
          <w:shd w:val="solid" w:color="FFFFFF" w:fill="FFFFFF"/>
          <w:lang w:eastAsia="en-US"/>
        </w:rPr>
        <w:t>tohoto fondu</w:t>
      </w:r>
      <w:r w:rsidRPr="00F952EB">
        <w:rPr>
          <w:rFonts w:eastAsia="Arial"/>
          <w:sz w:val="24"/>
          <w:szCs w:val="24"/>
          <w:shd w:val="solid" w:color="FFFFFF" w:fill="FFFFFF"/>
          <w:lang w:eastAsia="en-US"/>
        </w:rPr>
        <w:t xml:space="preserve">. </w:t>
      </w:r>
      <w:r w:rsidR="00AA71E7">
        <w:rPr>
          <w:rFonts w:eastAsia="Arial"/>
          <w:i/>
          <w:sz w:val="24"/>
          <w:szCs w:val="24"/>
          <w:shd w:val="solid" w:color="FFFFFF" w:fill="FFFFFF"/>
          <w:lang w:eastAsia="en-US"/>
        </w:rPr>
        <w:t>... Splněno. Z FRIM byly financovány především rychle odepisované investice. Financování pomalu odepisovaných stavebních investic bylo naopak prioritně realizováno z příspěvku. V roce 2013 se zvýšila tvorba i zůstatek fondu, čímž se vytvořil prostor pro udržení tempa investiční činnosti v letech 2014 a 2015.</w:t>
      </w:r>
    </w:p>
    <w:p w:rsidR="00EE2E40" w:rsidRPr="00F952EB" w:rsidRDefault="00EE2E40" w:rsidP="00EE2E40">
      <w:pPr>
        <w:pStyle w:val="Odstavecseseznamem"/>
        <w:numPr>
          <w:ilvl w:val="0"/>
          <w:numId w:val="37"/>
        </w:numPr>
        <w:spacing w:line="288" w:lineRule="auto"/>
        <w:jc w:val="both"/>
        <w:rPr>
          <w:rFonts w:eastAsia="Arial"/>
          <w:sz w:val="24"/>
          <w:szCs w:val="24"/>
          <w:shd w:val="solid" w:color="FFFFFF" w:fill="FFFFFF"/>
          <w:lang w:eastAsia="en-US"/>
        </w:rPr>
      </w:pPr>
      <w:r w:rsidRPr="00F952EB">
        <w:rPr>
          <w:rFonts w:eastAsia="Arial"/>
          <w:sz w:val="24"/>
          <w:szCs w:val="24"/>
          <w:shd w:val="solid" w:color="FFFFFF" w:fill="FFFFFF"/>
          <w:lang w:eastAsia="en-US"/>
        </w:rPr>
        <w:t>Vedle mzdové oblasti se rovněž soustředit na financování mobilitních, publikačních a další aktivit, které jednak umožňují rozvoj pedagogické a vědecké práce, a zároveň pozitivně prostřednictvím kvalitativních i kvantitativních kritérií působí na výši výnosů dotací a příspěvků.</w:t>
      </w:r>
      <w:r w:rsidR="00436737">
        <w:rPr>
          <w:rFonts w:eastAsia="Arial"/>
          <w:sz w:val="24"/>
          <w:szCs w:val="24"/>
          <w:shd w:val="solid" w:color="FFFFFF" w:fill="FFFFFF"/>
          <w:lang w:eastAsia="en-US"/>
        </w:rPr>
        <w:t xml:space="preserve"> </w:t>
      </w:r>
      <w:r w:rsidR="00436737">
        <w:rPr>
          <w:rFonts w:eastAsia="Arial"/>
          <w:i/>
          <w:sz w:val="24"/>
          <w:szCs w:val="24"/>
          <w:shd w:val="solid" w:color="FFFFFF" w:fill="FFFFFF"/>
          <w:lang w:eastAsia="en-US"/>
        </w:rPr>
        <w:t>... Splněno. Díky dobrému hospodářskému výsledku roku 2012</w:t>
      </w:r>
      <w:r w:rsidR="009C4613">
        <w:rPr>
          <w:rFonts w:eastAsia="Arial"/>
          <w:i/>
          <w:sz w:val="24"/>
          <w:szCs w:val="24"/>
          <w:shd w:val="solid" w:color="FFFFFF" w:fill="FFFFFF"/>
          <w:lang w:eastAsia="en-US"/>
        </w:rPr>
        <w:t>,</w:t>
      </w:r>
      <w:r w:rsidR="00436737">
        <w:rPr>
          <w:rFonts w:eastAsia="Arial"/>
          <w:i/>
          <w:sz w:val="24"/>
          <w:szCs w:val="24"/>
          <w:shd w:val="solid" w:color="FFFFFF" w:fill="FFFFFF"/>
          <w:lang w:eastAsia="en-US"/>
        </w:rPr>
        <w:t xml:space="preserve"> danému restrukturalizací na nákladové straně rozpočtu, bylo možno uvolnit cca o třetinu více prostředků na financování vnitřních výzkumných záměrů, než se původně plánovalo (cca 10 mil. Kč). D</w:t>
      </w:r>
      <w:r w:rsidR="00C058B5">
        <w:rPr>
          <w:rFonts w:eastAsia="Arial"/>
          <w:i/>
          <w:sz w:val="24"/>
          <w:szCs w:val="24"/>
          <w:shd w:val="solid" w:color="FFFFFF" w:fill="FFFFFF"/>
          <w:lang w:eastAsia="en-US"/>
        </w:rPr>
        <w:t>alšími d</w:t>
      </w:r>
      <w:r w:rsidR="00436737">
        <w:rPr>
          <w:rFonts w:eastAsia="Arial"/>
          <w:i/>
          <w:sz w:val="24"/>
          <w:szCs w:val="24"/>
          <w:shd w:val="solid" w:color="FFFFFF" w:fill="FFFFFF"/>
          <w:lang w:eastAsia="en-US"/>
        </w:rPr>
        <w:t>odatečnými prostředky ve výši cca 4 mil. Kč byl</w:t>
      </w:r>
      <w:r w:rsidR="00A204DE">
        <w:rPr>
          <w:rFonts w:eastAsia="Arial"/>
          <w:i/>
          <w:sz w:val="24"/>
          <w:szCs w:val="24"/>
          <w:shd w:val="solid" w:color="FFFFFF" w:fill="FFFFFF"/>
          <w:lang w:eastAsia="en-US"/>
        </w:rPr>
        <w:t>a</w:t>
      </w:r>
      <w:r w:rsidR="00436737">
        <w:rPr>
          <w:rFonts w:eastAsia="Arial"/>
          <w:i/>
          <w:sz w:val="24"/>
          <w:szCs w:val="24"/>
          <w:shd w:val="solid" w:color="FFFFFF" w:fill="FFFFFF"/>
          <w:lang w:eastAsia="en-US"/>
        </w:rPr>
        <w:t xml:space="preserve"> podpořen</w:t>
      </w:r>
      <w:r w:rsidR="00A204DE">
        <w:rPr>
          <w:rFonts w:eastAsia="Arial"/>
          <w:i/>
          <w:sz w:val="24"/>
          <w:szCs w:val="24"/>
          <w:shd w:val="solid" w:color="FFFFFF" w:fill="FFFFFF"/>
          <w:lang w:eastAsia="en-US"/>
        </w:rPr>
        <w:t>a</w:t>
      </w:r>
      <w:r w:rsidR="00436737">
        <w:rPr>
          <w:rFonts w:eastAsia="Arial"/>
          <w:i/>
          <w:sz w:val="24"/>
          <w:szCs w:val="24"/>
          <w:shd w:val="solid" w:color="FFFFFF" w:fill="FFFFFF"/>
          <w:lang w:eastAsia="en-US"/>
        </w:rPr>
        <w:t xml:space="preserve"> </w:t>
      </w:r>
      <w:r w:rsidR="00A204DE">
        <w:rPr>
          <w:rFonts w:eastAsia="Arial"/>
          <w:i/>
          <w:sz w:val="24"/>
          <w:szCs w:val="24"/>
          <w:shd w:val="solid" w:color="FFFFFF" w:fill="FFFFFF"/>
          <w:lang w:eastAsia="en-US"/>
        </w:rPr>
        <w:t xml:space="preserve">publikační činnost v rámci </w:t>
      </w:r>
      <w:r w:rsidR="00436737">
        <w:rPr>
          <w:rFonts w:eastAsia="Arial"/>
          <w:i/>
          <w:sz w:val="24"/>
          <w:szCs w:val="24"/>
          <w:shd w:val="solid" w:color="FFFFFF" w:fill="FFFFFF"/>
          <w:lang w:eastAsia="en-US"/>
        </w:rPr>
        <w:t>vnitřních výzkumných záměrů.</w:t>
      </w:r>
    </w:p>
    <w:p w:rsidR="009553A6" w:rsidRPr="00EE2E40" w:rsidRDefault="00EE2E40" w:rsidP="009553A6">
      <w:pPr>
        <w:pStyle w:val="Odstavecseseznamem"/>
        <w:numPr>
          <w:ilvl w:val="0"/>
          <w:numId w:val="37"/>
        </w:numPr>
        <w:spacing w:line="288" w:lineRule="auto"/>
        <w:jc w:val="both"/>
        <w:rPr>
          <w:rFonts w:eastAsia="Arial"/>
          <w:sz w:val="24"/>
          <w:szCs w:val="24"/>
          <w:shd w:val="solid" w:color="FFFFFF" w:fill="FFFFFF"/>
          <w:lang w:eastAsia="en-US"/>
        </w:rPr>
      </w:pPr>
      <w:r w:rsidRPr="00F952EB">
        <w:rPr>
          <w:rFonts w:eastAsia="Arial"/>
          <w:sz w:val="24"/>
          <w:szCs w:val="24"/>
          <w:shd w:val="solid" w:color="FFFFFF" w:fill="FFFFFF"/>
          <w:lang w:eastAsia="en-US"/>
        </w:rPr>
        <w:t>Dále se intenzivně věnovat oblasti výnosů z mimodotační a doplňkové činnosti.</w:t>
      </w:r>
      <w:r w:rsidR="00293EB1">
        <w:rPr>
          <w:rFonts w:eastAsia="Arial"/>
          <w:sz w:val="24"/>
          <w:szCs w:val="24"/>
          <w:shd w:val="solid" w:color="FFFFFF" w:fill="FFFFFF"/>
          <w:lang w:eastAsia="en-US"/>
        </w:rPr>
        <w:t xml:space="preserve"> </w:t>
      </w:r>
      <w:r w:rsidR="00CD48E8">
        <w:rPr>
          <w:rFonts w:eastAsia="Arial"/>
          <w:sz w:val="24"/>
          <w:szCs w:val="24"/>
          <w:shd w:val="solid" w:color="FFFFFF" w:fill="FFFFFF"/>
          <w:lang w:eastAsia="en-US"/>
        </w:rPr>
        <w:t xml:space="preserve">... </w:t>
      </w:r>
      <w:r w:rsidR="00293EB1">
        <w:rPr>
          <w:rFonts w:eastAsia="Arial"/>
          <w:i/>
          <w:sz w:val="24"/>
          <w:szCs w:val="24"/>
          <w:shd w:val="solid" w:color="FFFFFF" w:fill="FFFFFF"/>
          <w:lang w:eastAsia="en-US"/>
        </w:rPr>
        <w:t>Splněno. I za nepříznivých podmínek daných trvající ekonomickou krizí se podařilo udržet objem těchto činností na úrovni předchozího roku.</w:t>
      </w:r>
    </w:p>
    <w:p w:rsidR="009553A6" w:rsidRPr="00F952EB" w:rsidRDefault="009553A6" w:rsidP="009553A6">
      <w:pPr>
        <w:spacing w:line="288" w:lineRule="auto"/>
        <w:jc w:val="both"/>
        <w:rPr>
          <w:rFonts w:eastAsia="Arial"/>
          <w:color w:val="FF0000"/>
          <w:sz w:val="24"/>
          <w:szCs w:val="24"/>
          <w:lang w:eastAsia="en-US"/>
        </w:rPr>
      </w:pPr>
    </w:p>
    <w:p w:rsidR="009553A6" w:rsidRPr="00F952EB" w:rsidRDefault="009553A6" w:rsidP="009553A6">
      <w:pPr>
        <w:pStyle w:val="Nadpis6"/>
        <w:numPr>
          <w:ilvl w:val="1"/>
          <w:numId w:val="36"/>
        </w:numPr>
        <w:ind w:hanging="720"/>
        <w:rPr>
          <w:bCs/>
          <w:spacing w:val="0"/>
        </w:rPr>
      </w:pPr>
      <w:r w:rsidRPr="00F952EB">
        <w:rPr>
          <w:bCs/>
          <w:spacing w:val="0"/>
        </w:rPr>
        <w:t>Analýza financování fakulty a její finanční politiky</w:t>
      </w:r>
    </w:p>
    <w:p w:rsidR="009553A6" w:rsidRPr="00F952EB" w:rsidRDefault="009553A6" w:rsidP="009553A6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</w:p>
    <w:p w:rsidR="009553A6" w:rsidRPr="00CD28E5" w:rsidRDefault="009553A6" w:rsidP="009553A6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CD28E5">
        <w:rPr>
          <w:rFonts w:eastAsia="Arial"/>
          <w:sz w:val="24"/>
          <w:szCs w:val="24"/>
          <w:lang w:eastAsia="en-US"/>
        </w:rPr>
        <w:t xml:space="preserve">Díky úsporným opatřením </w:t>
      </w:r>
      <w:r w:rsidR="00CD28E5">
        <w:rPr>
          <w:rFonts w:eastAsia="Arial"/>
          <w:sz w:val="24"/>
          <w:szCs w:val="24"/>
          <w:lang w:eastAsia="en-US"/>
        </w:rPr>
        <w:t xml:space="preserve">provedeným v předchozím období </w:t>
      </w:r>
      <w:r w:rsidRPr="00CD28E5">
        <w:rPr>
          <w:rFonts w:eastAsia="Arial"/>
          <w:sz w:val="24"/>
          <w:szCs w:val="24"/>
          <w:lang w:eastAsia="en-US"/>
        </w:rPr>
        <w:t xml:space="preserve">na straně jedné a </w:t>
      </w:r>
      <w:r w:rsidR="00D51811">
        <w:rPr>
          <w:rFonts w:eastAsia="Arial"/>
          <w:sz w:val="24"/>
          <w:szCs w:val="24"/>
          <w:lang w:eastAsia="en-US"/>
        </w:rPr>
        <w:t xml:space="preserve">dostatečnému objemu </w:t>
      </w:r>
      <w:r w:rsidRPr="00CD28E5">
        <w:rPr>
          <w:rFonts w:eastAsia="Arial"/>
          <w:sz w:val="24"/>
          <w:szCs w:val="24"/>
          <w:lang w:eastAsia="en-US"/>
        </w:rPr>
        <w:t>výnosů na straně druhé, byl hospodářský výsledek fakulty za rok 201</w:t>
      </w:r>
      <w:r w:rsidR="00CD28E5">
        <w:rPr>
          <w:rFonts w:eastAsia="Arial"/>
          <w:sz w:val="24"/>
          <w:szCs w:val="24"/>
          <w:lang w:eastAsia="en-US"/>
        </w:rPr>
        <w:t>3</w:t>
      </w:r>
      <w:r w:rsidR="00D51811">
        <w:rPr>
          <w:rFonts w:eastAsia="Arial"/>
          <w:sz w:val="24"/>
          <w:szCs w:val="24"/>
          <w:lang w:eastAsia="en-US"/>
        </w:rPr>
        <w:t xml:space="preserve"> kladný. Do budoucna je třeba počítat s tím, že jednorázový pozitivní efekt restrukturalizace výnosů a nákladů v roce 2012 odezní a bude třeba pečlivě řídit především nákladovou stránku rozpočtu. </w:t>
      </w:r>
    </w:p>
    <w:p w:rsidR="009553A6" w:rsidRPr="00CD28E5" w:rsidRDefault="009553A6" w:rsidP="009553A6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</w:p>
    <w:p w:rsidR="009553A6" w:rsidRPr="00CD28E5" w:rsidRDefault="009553A6" w:rsidP="009553A6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CD28E5">
        <w:rPr>
          <w:rFonts w:eastAsia="Arial"/>
          <w:sz w:val="24"/>
          <w:szCs w:val="24"/>
          <w:lang w:eastAsia="en-US"/>
        </w:rPr>
        <w:lastRenderedPageBreak/>
        <w:t xml:space="preserve">Na straně výnosů lze konstatovat, že tržby z prodeje zboží a služeb jsou dlouhodobě stabilní, v pozitivním i negativním smyslu slova. Na jedné straně je potěšující, že má fakulta dlouhodobě vytvořený stabilní </w:t>
      </w:r>
      <w:r w:rsidR="003421FA" w:rsidRPr="00CD28E5">
        <w:rPr>
          <w:rFonts w:eastAsia="Arial"/>
          <w:sz w:val="24"/>
          <w:szCs w:val="24"/>
          <w:lang w:eastAsia="en-US"/>
        </w:rPr>
        <w:t>mimodotační</w:t>
      </w:r>
      <w:r w:rsidRPr="00CD28E5">
        <w:rPr>
          <w:rFonts w:eastAsia="Arial"/>
          <w:sz w:val="24"/>
          <w:szCs w:val="24"/>
          <w:lang w:eastAsia="en-US"/>
        </w:rPr>
        <w:t xml:space="preserve"> pilíř financování, na straně druhé je vzhledem ke konstantnímu spektru a</w:t>
      </w:r>
      <w:r w:rsidR="003407C2" w:rsidRPr="00CD28E5">
        <w:rPr>
          <w:rFonts w:eastAsia="Arial"/>
          <w:sz w:val="24"/>
          <w:szCs w:val="24"/>
          <w:lang w:eastAsia="en-US"/>
        </w:rPr>
        <w:t>ktivit přinášejících tyto výnosy</w:t>
      </w:r>
      <w:r w:rsidRPr="00CD28E5">
        <w:rPr>
          <w:rFonts w:eastAsia="Arial"/>
          <w:sz w:val="24"/>
          <w:szCs w:val="24"/>
          <w:lang w:eastAsia="en-US"/>
        </w:rPr>
        <w:t xml:space="preserve"> žádoucí hledat nové oblasti působení jak v oblasti celoživotního vzdělávání, tak transferu znalostí (smluvní výzkum, prodej licencí, expertní činnost atp.). V oblasti dotací a příspěvků zaznamenáváme nejednoznačné trendy a výkyvy. Celkově lze konstatovat fluktuaci </w:t>
      </w:r>
      <w:r w:rsidR="00A06937" w:rsidRPr="00CD28E5">
        <w:rPr>
          <w:rFonts w:eastAsia="Arial"/>
          <w:sz w:val="24"/>
          <w:szCs w:val="24"/>
          <w:lang w:eastAsia="en-US"/>
        </w:rPr>
        <w:t>v řádu desítek milionů korun</w:t>
      </w:r>
      <w:r w:rsidRPr="00CD28E5">
        <w:rPr>
          <w:rFonts w:eastAsia="Arial"/>
          <w:sz w:val="24"/>
          <w:szCs w:val="24"/>
          <w:lang w:eastAsia="en-US"/>
        </w:rPr>
        <w:t xml:space="preserve">. Jelikož jde o </w:t>
      </w:r>
      <w:r w:rsidR="00A06937" w:rsidRPr="00CD28E5">
        <w:rPr>
          <w:rFonts w:eastAsia="Arial"/>
          <w:sz w:val="24"/>
          <w:szCs w:val="24"/>
          <w:lang w:eastAsia="en-US"/>
        </w:rPr>
        <w:t xml:space="preserve">poměrně široké </w:t>
      </w:r>
      <w:r w:rsidRPr="00CD28E5">
        <w:rPr>
          <w:rFonts w:eastAsia="Arial"/>
          <w:sz w:val="24"/>
          <w:szCs w:val="24"/>
          <w:lang w:eastAsia="en-US"/>
        </w:rPr>
        <w:t xml:space="preserve">pásmo, je nutno na toto kolísání </w:t>
      </w:r>
      <w:r w:rsidR="001271B1" w:rsidRPr="00CD28E5">
        <w:rPr>
          <w:rFonts w:eastAsia="Arial"/>
          <w:sz w:val="24"/>
          <w:szCs w:val="24"/>
          <w:lang w:eastAsia="en-US"/>
        </w:rPr>
        <w:t xml:space="preserve">charakterizované </w:t>
      </w:r>
      <w:r w:rsidRPr="00CD28E5">
        <w:rPr>
          <w:rFonts w:eastAsia="Arial"/>
          <w:sz w:val="24"/>
          <w:szCs w:val="24"/>
          <w:lang w:eastAsia="en-US"/>
        </w:rPr>
        <w:t xml:space="preserve">nízkou střednědobou </w:t>
      </w:r>
      <w:r w:rsidR="009C4613" w:rsidRPr="00CD28E5">
        <w:rPr>
          <w:rFonts w:eastAsia="Arial"/>
          <w:sz w:val="24"/>
          <w:szCs w:val="24"/>
          <w:lang w:eastAsia="en-US"/>
        </w:rPr>
        <w:t>predikt</w:t>
      </w:r>
      <w:r w:rsidR="009C4613">
        <w:rPr>
          <w:rFonts w:eastAsia="Arial"/>
          <w:sz w:val="24"/>
          <w:szCs w:val="24"/>
          <w:lang w:eastAsia="en-US"/>
        </w:rPr>
        <w:t>a</w:t>
      </w:r>
      <w:r w:rsidR="009C4613" w:rsidRPr="00CD28E5">
        <w:rPr>
          <w:rFonts w:eastAsia="Arial"/>
          <w:sz w:val="24"/>
          <w:szCs w:val="24"/>
          <w:lang w:eastAsia="en-US"/>
        </w:rPr>
        <w:t xml:space="preserve">bilitou </w:t>
      </w:r>
      <w:r w:rsidRPr="00CD28E5">
        <w:rPr>
          <w:rFonts w:eastAsia="Arial"/>
          <w:sz w:val="24"/>
          <w:szCs w:val="24"/>
          <w:lang w:eastAsia="en-US"/>
        </w:rPr>
        <w:t xml:space="preserve">této skupiny výnosů reagovat opatrností při </w:t>
      </w:r>
      <w:r w:rsidR="001271B1" w:rsidRPr="00CD28E5">
        <w:rPr>
          <w:rFonts w:eastAsia="Arial"/>
          <w:sz w:val="24"/>
          <w:szCs w:val="24"/>
          <w:lang w:eastAsia="en-US"/>
        </w:rPr>
        <w:t xml:space="preserve">řízení </w:t>
      </w:r>
      <w:r w:rsidRPr="00CD28E5">
        <w:rPr>
          <w:rFonts w:eastAsia="Arial"/>
          <w:sz w:val="24"/>
          <w:szCs w:val="24"/>
          <w:lang w:eastAsia="en-US"/>
        </w:rPr>
        <w:t xml:space="preserve">fixních nákladů (pořizování investic </w:t>
      </w:r>
      <w:r w:rsidR="001271B1" w:rsidRPr="00CD28E5">
        <w:rPr>
          <w:rFonts w:eastAsia="Arial"/>
          <w:sz w:val="24"/>
          <w:szCs w:val="24"/>
          <w:lang w:eastAsia="en-US"/>
        </w:rPr>
        <w:t xml:space="preserve">indukujících významné </w:t>
      </w:r>
      <w:r w:rsidRPr="00CD28E5">
        <w:rPr>
          <w:rFonts w:eastAsia="Arial"/>
          <w:sz w:val="24"/>
          <w:szCs w:val="24"/>
          <w:lang w:eastAsia="en-US"/>
        </w:rPr>
        <w:t>provozní náklady, objem uzavřených pracovních smluv na dobu neurčitou atp.).</w:t>
      </w:r>
    </w:p>
    <w:p w:rsidR="009553A6" w:rsidRPr="00CD28E5" w:rsidRDefault="009553A6" w:rsidP="009553A6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</w:p>
    <w:p w:rsidR="00937408" w:rsidRPr="00CD28E5" w:rsidRDefault="009553A6" w:rsidP="00937408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CD28E5">
        <w:rPr>
          <w:rFonts w:eastAsia="Arial"/>
          <w:sz w:val="24"/>
          <w:szCs w:val="24"/>
          <w:lang w:eastAsia="en-US"/>
        </w:rPr>
        <w:t>Na straně nákladů je třeba dbát na to, aby nedocházelo k  propadu financování aktivit nezbytných pro kvalitní pedagogickou a vědeckou práci, zvl. cestovné, materiál a vybavení, publikační náklady a náklady spojené s hostováním zahraničních odborníků na fakultě. Rovněž je třeba dbát na dostatečné financování v oblasti obnovy infrastruktury, aby nedocházelo k podvazování peda</w:t>
      </w:r>
      <w:r w:rsidR="00A61B92">
        <w:rPr>
          <w:rFonts w:eastAsia="Arial"/>
          <w:sz w:val="24"/>
          <w:szCs w:val="24"/>
          <w:lang w:eastAsia="en-US"/>
        </w:rPr>
        <w:t>gogických a vědeckých činností.</w:t>
      </w:r>
    </w:p>
    <w:p w:rsidR="00937408" w:rsidRPr="00CD28E5" w:rsidRDefault="00937408" w:rsidP="009553A6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</w:p>
    <w:p w:rsidR="009553A6" w:rsidRPr="00A61B92" w:rsidRDefault="009553A6" w:rsidP="00A61B92">
      <w:pPr>
        <w:spacing w:line="288" w:lineRule="auto"/>
        <w:jc w:val="both"/>
        <w:rPr>
          <w:rFonts w:eastAsia="Arial"/>
          <w:sz w:val="24"/>
          <w:szCs w:val="24"/>
          <w:lang w:eastAsia="en-US"/>
        </w:rPr>
      </w:pPr>
      <w:r w:rsidRPr="00CD28E5">
        <w:rPr>
          <w:rFonts w:eastAsia="Arial"/>
          <w:sz w:val="24"/>
          <w:szCs w:val="24"/>
          <w:lang w:eastAsia="en-US"/>
        </w:rPr>
        <w:t>Vedle připravované velké investiční akce rekonstrukce objektů Opletalova 47 a 49 je nutno věnovat dostatečnou pozornost i reprodukci ostatního majetku</w:t>
      </w:r>
      <w:r w:rsidR="00D85453" w:rsidRPr="00CD28E5">
        <w:rPr>
          <w:rFonts w:eastAsia="Arial"/>
          <w:sz w:val="24"/>
          <w:szCs w:val="24"/>
          <w:lang w:eastAsia="en-US"/>
        </w:rPr>
        <w:t>.</w:t>
      </w:r>
    </w:p>
    <w:p w:rsidR="009553A6" w:rsidRPr="00F952EB" w:rsidRDefault="009553A6" w:rsidP="009553A6">
      <w:pPr>
        <w:spacing w:line="288" w:lineRule="auto"/>
        <w:rPr>
          <w:rFonts w:eastAsia="Arial"/>
          <w:sz w:val="24"/>
          <w:szCs w:val="24"/>
          <w:lang w:eastAsia="en-US"/>
        </w:rPr>
      </w:pPr>
    </w:p>
    <w:p w:rsidR="009553A6" w:rsidRPr="00F952EB" w:rsidRDefault="009553A6" w:rsidP="009553A6">
      <w:pPr>
        <w:pStyle w:val="Nadpis6"/>
        <w:numPr>
          <w:ilvl w:val="1"/>
          <w:numId w:val="36"/>
        </w:numPr>
        <w:ind w:hanging="720"/>
        <w:rPr>
          <w:bCs/>
          <w:spacing w:val="0"/>
        </w:rPr>
      </w:pPr>
      <w:r w:rsidRPr="00F952EB">
        <w:rPr>
          <w:bCs/>
          <w:spacing w:val="0"/>
        </w:rPr>
        <w:t>Doporučená opatření pro následující období</w:t>
      </w:r>
    </w:p>
    <w:p w:rsidR="009553A6" w:rsidRPr="00F952EB" w:rsidRDefault="009553A6" w:rsidP="009553A6">
      <w:pPr>
        <w:spacing w:line="288" w:lineRule="auto"/>
        <w:jc w:val="both"/>
        <w:rPr>
          <w:rFonts w:eastAsia="Arial"/>
          <w:sz w:val="24"/>
          <w:szCs w:val="24"/>
          <w:shd w:val="solid" w:color="FFFFFF" w:fill="FFFFFF"/>
          <w:lang w:eastAsia="en-US"/>
        </w:rPr>
      </w:pPr>
    </w:p>
    <w:p w:rsidR="00D51811" w:rsidRPr="00D51811" w:rsidRDefault="00B66847" w:rsidP="00D51811">
      <w:pPr>
        <w:pStyle w:val="Odstavecseseznamem"/>
        <w:numPr>
          <w:ilvl w:val="0"/>
          <w:numId w:val="38"/>
        </w:numPr>
        <w:spacing w:line="288" w:lineRule="auto"/>
        <w:jc w:val="both"/>
        <w:rPr>
          <w:rFonts w:eastAsia="Arial"/>
          <w:sz w:val="24"/>
          <w:szCs w:val="24"/>
          <w:shd w:val="solid" w:color="FFFFFF" w:fill="FFFFFF"/>
          <w:lang w:eastAsia="en-US"/>
        </w:rPr>
      </w:pPr>
      <w:r>
        <w:rPr>
          <w:rFonts w:eastAsia="Arial"/>
          <w:sz w:val="24"/>
          <w:szCs w:val="24"/>
          <w:shd w:val="solid" w:color="FFFFFF" w:fill="FFFFFF"/>
          <w:lang w:eastAsia="en-US"/>
        </w:rPr>
        <w:t xml:space="preserve">Mimořádnou pozornost bude třeba v roce 2014 věnovat přizpůsobení se změnám </w:t>
      </w:r>
      <w:r w:rsidR="00FE5E11">
        <w:rPr>
          <w:rFonts w:eastAsia="Arial"/>
          <w:sz w:val="24"/>
          <w:szCs w:val="24"/>
          <w:shd w:val="solid" w:color="FFFFFF" w:fill="FFFFFF"/>
          <w:lang w:eastAsia="en-US"/>
        </w:rPr>
        <w:t xml:space="preserve">daným </w:t>
      </w:r>
      <w:r>
        <w:rPr>
          <w:rFonts w:eastAsia="Arial"/>
          <w:sz w:val="24"/>
          <w:szCs w:val="24"/>
          <w:shd w:val="solid" w:color="FFFFFF" w:fill="FFFFFF"/>
          <w:lang w:eastAsia="en-US"/>
        </w:rPr>
        <w:t>dvěma novelami Vnitřního mzdového předpisu UK, které jednak ve dvou krocích (k 1. 1. 2014 a k 1. 1. 2015) zvyšují tarifní mzdy zaměstnanců a jednak mění způsob přiznávání příplatků za vedení g</w:t>
      </w:r>
      <w:r w:rsidR="00FE5E11">
        <w:rPr>
          <w:rFonts w:eastAsia="Arial"/>
          <w:sz w:val="24"/>
          <w:szCs w:val="24"/>
          <w:shd w:val="solid" w:color="FFFFFF" w:fill="FFFFFF"/>
          <w:lang w:eastAsia="en-US"/>
        </w:rPr>
        <w:t>a</w:t>
      </w:r>
      <w:r>
        <w:rPr>
          <w:rFonts w:eastAsia="Arial"/>
          <w:sz w:val="24"/>
          <w:szCs w:val="24"/>
          <w:shd w:val="solid" w:color="FFFFFF" w:fill="FFFFFF"/>
          <w:lang w:eastAsia="en-US"/>
        </w:rPr>
        <w:t>rantům studijních programů a oborovým garantům. Zvýšený nárok na rozpočet roku 2014 se očekává ve výši přibližně 1</w:t>
      </w:r>
      <w:r w:rsidR="00092FBA">
        <w:rPr>
          <w:rFonts w:eastAsia="Arial"/>
          <w:sz w:val="24"/>
          <w:szCs w:val="24"/>
          <w:shd w:val="solid" w:color="FFFFFF" w:fill="FFFFFF"/>
          <w:lang w:eastAsia="en-US"/>
        </w:rPr>
        <w:t>7</w:t>
      </w:r>
      <w:r>
        <w:rPr>
          <w:rFonts w:eastAsia="Arial"/>
          <w:sz w:val="24"/>
          <w:szCs w:val="24"/>
          <w:shd w:val="solid" w:color="FFFFFF" w:fill="FFFFFF"/>
          <w:lang w:eastAsia="en-US"/>
        </w:rPr>
        <w:t xml:space="preserve"> mil. Kč (zvýšení tarifních mezd cca 14 mil. Kč, změna v příplatcích cca </w:t>
      </w:r>
      <w:r w:rsidR="00092FBA">
        <w:rPr>
          <w:rFonts w:eastAsia="Arial"/>
          <w:sz w:val="24"/>
          <w:szCs w:val="24"/>
          <w:shd w:val="solid" w:color="FFFFFF" w:fill="FFFFFF"/>
          <w:lang w:eastAsia="en-US"/>
        </w:rPr>
        <w:t>3</w:t>
      </w:r>
      <w:r>
        <w:rPr>
          <w:rFonts w:eastAsia="Arial"/>
          <w:sz w:val="24"/>
          <w:szCs w:val="24"/>
          <w:shd w:val="solid" w:color="FFFFFF" w:fill="FFFFFF"/>
          <w:lang w:eastAsia="en-US"/>
        </w:rPr>
        <w:t xml:space="preserve"> mil. Kč). Zvýšený nárok na rozpočet v roce 2015 činí cca 14 mil. Kč z důvodu dalšího zvýšení tarifních mezd.</w:t>
      </w:r>
    </w:p>
    <w:p w:rsidR="004C2222" w:rsidRDefault="00BB6060" w:rsidP="009553A6">
      <w:pPr>
        <w:pStyle w:val="Odstavecseseznamem"/>
        <w:numPr>
          <w:ilvl w:val="0"/>
          <w:numId w:val="38"/>
        </w:numPr>
        <w:spacing w:line="288" w:lineRule="auto"/>
        <w:jc w:val="both"/>
        <w:rPr>
          <w:rFonts w:eastAsia="Arial"/>
          <w:sz w:val="24"/>
          <w:szCs w:val="24"/>
          <w:shd w:val="solid" w:color="FFFFFF" w:fill="FFFFFF"/>
          <w:lang w:eastAsia="en-US"/>
        </w:rPr>
      </w:pPr>
      <w:r>
        <w:rPr>
          <w:rFonts w:eastAsia="Arial"/>
          <w:sz w:val="24"/>
          <w:szCs w:val="24"/>
          <w:shd w:val="solid" w:color="FFFFFF" w:fill="FFFFFF"/>
          <w:lang w:eastAsia="en-US"/>
        </w:rPr>
        <w:t xml:space="preserve">Především s ohledem na bod 1 výše, bude třeba do léta 2014 vyhodnotit financování jak provozu fakulty, tak jednotlivých základních součástí, a </w:t>
      </w:r>
      <w:r w:rsidR="003F56F1">
        <w:rPr>
          <w:rFonts w:eastAsia="Arial"/>
          <w:sz w:val="24"/>
          <w:szCs w:val="24"/>
          <w:shd w:val="solid" w:color="FFFFFF" w:fill="FFFFFF"/>
          <w:lang w:eastAsia="en-US"/>
        </w:rPr>
        <w:t>hledat cestu k dalším úsporám</w:t>
      </w:r>
      <w:r>
        <w:rPr>
          <w:rFonts w:eastAsia="Arial"/>
          <w:sz w:val="24"/>
          <w:szCs w:val="24"/>
          <w:shd w:val="solid" w:color="FFFFFF" w:fill="FFFFFF"/>
          <w:lang w:eastAsia="en-US"/>
        </w:rPr>
        <w:t>.</w:t>
      </w:r>
    </w:p>
    <w:p w:rsidR="009553A6" w:rsidRPr="00D51811" w:rsidRDefault="004C2222" w:rsidP="009553A6">
      <w:pPr>
        <w:pStyle w:val="Odstavecseseznamem"/>
        <w:numPr>
          <w:ilvl w:val="0"/>
          <w:numId w:val="38"/>
        </w:numPr>
        <w:spacing w:line="288" w:lineRule="auto"/>
        <w:jc w:val="both"/>
        <w:rPr>
          <w:rFonts w:eastAsia="Arial"/>
          <w:sz w:val="24"/>
          <w:szCs w:val="24"/>
          <w:shd w:val="solid" w:color="FFFFFF" w:fill="FFFFFF"/>
          <w:lang w:eastAsia="en-US"/>
        </w:rPr>
      </w:pPr>
      <w:r>
        <w:rPr>
          <w:rFonts w:eastAsia="Arial"/>
          <w:sz w:val="24"/>
          <w:szCs w:val="24"/>
          <w:shd w:val="solid" w:color="FFFFFF" w:fill="FFFFFF"/>
          <w:lang w:eastAsia="en-US"/>
        </w:rPr>
        <w:t>Je třeba se důkladně připravit na realizaci projektu připraveného do</w:t>
      </w:r>
      <w:r w:rsidRPr="00D51811">
        <w:rPr>
          <w:rFonts w:eastAsia="Arial"/>
          <w:sz w:val="24"/>
          <w:szCs w:val="24"/>
          <w:shd w:val="solid" w:color="FFFFFF" w:fill="FFFFFF"/>
          <w:lang w:eastAsia="en-US"/>
        </w:rPr>
        <w:t xml:space="preserve"> </w:t>
      </w:r>
      <w:r w:rsidR="00D51811" w:rsidRPr="00D51811">
        <w:rPr>
          <w:rFonts w:eastAsia="Arial"/>
          <w:sz w:val="24"/>
          <w:szCs w:val="24"/>
          <w:shd w:val="solid" w:color="FFFFFF" w:fill="FFFFFF"/>
          <w:lang w:eastAsia="en-US"/>
        </w:rPr>
        <w:t>OP VaVpI</w:t>
      </w:r>
      <w:r>
        <w:rPr>
          <w:rFonts w:eastAsia="Arial"/>
          <w:sz w:val="24"/>
          <w:szCs w:val="24"/>
          <w:shd w:val="solid" w:color="FFFFFF" w:fill="FFFFFF"/>
          <w:lang w:eastAsia="en-US"/>
        </w:rPr>
        <w:t xml:space="preserve"> a to především z hlediska vyhodnocení možných rizik realizace (mnohem komplikovanější pravidla než u obdobných výzev pro mimopražské VŠ), tak z hlediska finančního (posouzení možnosti kofinancování při výhledu snížení výnosů v rámci univerzitního rozpisu a nuceného růstu mzdových nákladů novelou Vnitřního mzdového předpisu UK).</w:t>
      </w:r>
    </w:p>
    <w:p w:rsidR="00092FBA" w:rsidRDefault="00092FBA">
      <w:pPr>
        <w:rPr>
          <w:rFonts w:eastAsia="Arial"/>
          <w:sz w:val="24"/>
          <w:szCs w:val="24"/>
          <w:shd w:val="solid" w:color="FFFFFF" w:fill="FFFFFF"/>
          <w:lang w:eastAsia="en-US"/>
        </w:rPr>
      </w:pPr>
      <w:r>
        <w:rPr>
          <w:rFonts w:eastAsia="Arial"/>
          <w:sz w:val="24"/>
          <w:szCs w:val="24"/>
          <w:shd w:val="solid" w:color="FFFFFF" w:fill="FFFFFF"/>
          <w:lang w:eastAsia="en-US"/>
        </w:rPr>
        <w:br w:type="page"/>
      </w:r>
    </w:p>
    <w:p w:rsidR="006657F3" w:rsidRPr="00AD5C3E" w:rsidRDefault="009553A6" w:rsidP="006657F3">
      <w:pPr>
        <w:pStyle w:val="Odstavecseseznamem"/>
        <w:numPr>
          <w:ilvl w:val="0"/>
          <w:numId w:val="38"/>
        </w:numPr>
        <w:spacing w:line="288" w:lineRule="auto"/>
        <w:jc w:val="both"/>
        <w:rPr>
          <w:rFonts w:eastAsia="Arial"/>
          <w:sz w:val="24"/>
          <w:szCs w:val="24"/>
          <w:shd w:val="solid" w:color="FFFFFF" w:fill="FFFFFF"/>
          <w:lang w:eastAsia="en-US"/>
        </w:rPr>
      </w:pPr>
      <w:r w:rsidRPr="00D51811">
        <w:rPr>
          <w:rFonts w:eastAsia="Arial"/>
          <w:sz w:val="24"/>
          <w:szCs w:val="24"/>
          <w:shd w:val="solid" w:color="FFFFFF" w:fill="FFFFFF"/>
          <w:lang w:eastAsia="en-US"/>
        </w:rPr>
        <w:lastRenderedPageBreak/>
        <w:t>Dále se intenzivně věnovat oblasti výnosů z </w:t>
      </w:r>
      <w:r w:rsidR="003421FA" w:rsidRPr="00D51811">
        <w:rPr>
          <w:rFonts w:eastAsia="Arial"/>
          <w:sz w:val="24"/>
          <w:szCs w:val="24"/>
          <w:shd w:val="solid" w:color="FFFFFF" w:fill="FFFFFF"/>
          <w:lang w:eastAsia="en-US"/>
        </w:rPr>
        <w:t>mimodotační</w:t>
      </w:r>
      <w:r w:rsidRPr="00D51811">
        <w:rPr>
          <w:rFonts w:eastAsia="Arial"/>
          <w:sz w:val="24"/>
          <w:szCs w:val="24"/>
          <w:shd w:val="solid" w:color="FFFFFF" w:fill="FFFFFF"/>
          <w:lang w:eastAsia="en-US"/>
        </w:rPr>
        <w:t xml:space="preserve"> a doplňkové č</w:t>
      </w:r>
      <w:r w:rsidRPr="00AD5C3E">
        <w:rPr>
          <w:rFonts w:eastAsia="Arial"/>
          <w:sz w:val="24"/>
          <w:szCs w:val="24"/>
          <w:shd w:val="solid" w:color="FFFFFF" w:fill="FFFFFF"/>
          <w:lang w:eastAsia="en-US"/>
        </w:rPr>
        <w:t>innosti.</w:t>
      </w:r>
    </w:p>
    <w:p w:rsidR="006657F3" w:rsidRPr="00AD5C3E" w:rsidRDefault="00AD5C3E" w:rsidP="006657F3">
      <w:pPr>
        <w:pStyle w:val="Odstavecseseznamem"/>
        <w:numPr>
          <w:ilvl w:val="0"/>
          <w:numId w:val="38"/>
        </w:numPr>
        <w:spacing w:line="288" w:lineRule="auto"/>
        <w:jc w:val="both"/>
        <w:rPr>
          <w:rFonts w:eastAsia="Arial"/>
          <w:sz w:val="24"/>
          <w:szCs w:val="24"/>
          <w:shd w:val="solid" w:color="FFFFFF" w:fill="FFFFFF"/>
          <w:lang w:eastAsia="en-US"/>
        </w:rPr>
      </w:pPr>
      <w:r w:rsidRPr="00AD5C3E">
        <w:rPr>
          <w:rFonts w:eastAsia="Arial"/>
          <w:sz w:val="24"/>
          <w:szCs w:val="24"/>
          <w:shd w:val="solid" w:color="FFFFFF" w:fill="FFFFFF"/>
          <w:lang w:eastAsia="en-US"/>
        </w:rPr>
        <w:t>Zaměřit se na využití potenciálu zahraničních studentů – samoplátců a zahraničních frekventantů akreditovaných a i dalších kurzů celoživotního vzdělávání.</w:t>
      </w:r>
    </w:p>
    <w:p w:rsidR="009553A6" w:rsidRPr="00F952EB" w:rsidRDefault="009553A6" w:rsidP="009553A6">
      <w:pPr>
        <w:pStyle w:val="Zkladntext"/>
        <w:rPr>
          <w:szCs w:val="24"/>
        </w:rPr>
      </w:pPr>
    </w:p>
    <w:p w:rsidR="00092FBA" w:rsidRDefault="00092FBA" w:rsidP="00CF3916">
      <w:pPr>
        <w:pStyle w:val="Zkladntext"/>
      </w:pPr>
    </w:p>
    <w:p w:rsidR="009553A6" w:rsidRPr="00F952EB" w:rsidRDefault="009F2C9B" w:rsidP="00CF3916">
      <w:pPr>
        <w:pStyle w:val="Zkladntext"/>
      </w:pPr>
      <w:r>
        <w:t xml:space="preserve">V Praze dne </w:t>
      </w:r>
      <w:r w:rsidR="00AD5C3E">
        <w:t>5</w:t>
      </w:r>
      <w:r w:rsidR="009553A6" w:rsidRPr="00F952EB">
        <w:t xml:space="preserve">. </w:t>
      </w:r>
      <w:r>
        <w:t>5</w:t>
      </w:r>
      <w:r w:rsidR="009553A6" w:rsidRPr="00F952EB">
        <w:t>. 201</w:t>
      </w:r>
      <w:r w:rsidR="00CF3916">
        <w:t>4</w:t>
      </w:r>
    </w:p>
    <w:p w:rsidR="00092FBA" w:rsidRDefault="00092FBA" w:rsidP="009553A6">
      <w:pPr>
        <w:pStyle w:val="Zkladntext"/>
      </w:pPr>
    </w:p>
    <w:p w:rsidR="009553A6" w:rsidRPr="006C079B" w:rsidRDefault="009553A6" w:rsidP="009553A6">
      <w:pPr>
        <w:pStyle w:val="Zkladntext"/>
      </w:pPr>
      <w:r w:rsidRPr="00F952EB">
        <w:t>Ing. Filip Malý, tajemník fakulty</w:t>
      </w:r>
    </w:p>
    <w:p w:rsidR="009553A6" w:rsidRDefault="009553A6" w:rsidP="009553A6">
      <w:pPr>
        <w:pStyle w:val="Zkladntext"/>
        <w:rPr>
          <w:highlight w:val="green"/>
        </w:rPr>
      </w:pPr>
    </w:p>
    <w:p w:rsidR="007D7539" w:rsidRPr="00D633F1" w:rsidRDefault="00D633F1" w:rsidP="00D633F1">
      <w:pPr>
        <w:pStyle w:val="Zkladntext"/>
        <w:rPr>
          <w:i/>
        </w:rPr>
      </w:pPr>
      <w:r w:rsidRPr="00F63514">
        <w:rPr>
          <w:i/>
          <w:u w:val="single"/>
        </w:rPr>
        <w:t>Příloha</w:t>
      </w:r>
      <w:r w:rsidRPr="00F63514">
        <w:rPr>
          <w:i/>
        </w:rPr>
        <w:t>: Tabulková část</w:t>
      </w:r>
    </w:p>
    <w:sectPr w:rsidR="007D7539" w:rsidRPr="00D633F1" w:rsidSect="00C76AF3">
      <w:headerReference w:type="default" r:id="rId12"/>
      <w:footerReference w:type="even" r:id="rId13"/>
      <w:footerReference w:type="default" r:id="rId14"/>
      <w:headerReference w:type="first" r:id="rId15"/>
      <w:type w:val="nextColumn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72B" w:rsidRDefault="00B4472B">
      <w:r>
        <w:separator/>
      </w:r>
    </w:p>
  </w:endnote>
  <w:endnote w:type="continuationSeparator" w:id="0">
    <w:p w:rsidR="00B4472B" w:rsidRDefault="00B4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13" w:rsidRDefault="009C4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4613" w:rsidRDefault="009C46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13" w:rsidRDefault="009C4613" w:rsidP="00D70690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06AEF">
      <w:rPr>
        <w:rStyle w:val="slostrnky"/>
        <w:noProof/>
      </w:rPr>
      <w:t>12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06AEF">
      <w:rPr>
        <w:rStyle w:val="slostrnky"/>
        <w:noProof/>
      </w:rPr>
      <w:t>14</w:t>
    </w:r>
    <w:r>
      <w:rPr>
        <w:rStyle w:val="slostrnky"/>
      </w:rPr>
      <w:fldChar w:fldCharType="end"/>
    </w:r>
  </w:p>
  <w:p w:rsidR="009C4613" w:rsidRDefault="009C4613" w:rsidP="00D7069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72B" w:rsidRDefault="00B4472B">
      <w:r>
        <w:separator/>
      </w:r>
    </w:p>
  </w:footnote>
  <w:footnote w:type="continuationSeparator" w:id="0">
    <w:p w:rsidR="00B4472B" w:rsidRDefault="00B4472B">
      <w:r>
        <w:continuationSeparator/>
      </w:r>
    </w:p>
  </w:footnote>
  <w:footnote w:id="1">
    <w:p w:rsidR="009C4613" w:rsidRDefault="009C4613">
      <w:pPr>
        <w:pStyle w:val="Textpoznpodarou"/>
      </w:pPr>
      <w:r>
        <w:rPr>
          <w:rStyle w:val="Znakapoznpodarou"/>
        </w:rPr>
        <w:footnoteRef/>
      </w:r>
      <w:r>
        <w:t xml:space="preserve"> Rozdíl oproti součtu částek uvedených dále v odstavci o 1 tis. Kč je dán zaokrouhlováním.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13" w:rsidRPr="00B66B55" w:rsidRDefault="009C4613" w:rsidP="00CF3916">
    <w:pPr>
      <w:pStyle w:val="Zhlav"/>
      <w:jc w:val="center"/>
      <w:rPr>
        <w:sz w:val="22"/>
        <w:szCs w:val="22"/>
      </w:rPr>
    </w:pPr>
    <w:r w:rsidRPr="00B66B55">
      <w:rPr>
        <w:sz w:val="22"/>
        <w:szCs w:val="22"/>
      </w:rPr>
      <w:t>Univerzita Karlova v Praze, Filozofická fakulta  - Výroční zpráva o hospodaření za rok 201</w:t>
    </w:r>
    <w:r>
      <w:rPr>
        <w:sz w:val="22"/>
        <w:szCs w:val="22"/>
      </w:rPr>
      <w:t>3</w:t>
    </w:r>
  </w:p>
  <w:p w:rsidR="009C4613" w:rsidRDefault="009C4613">
    <w:pPr>
      <w:pStyle w:val="Zhlav"/>
      <w:jc w:val="center"/>
      <w:rPr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13" w:rsidRDefault="00006AEF">
    <w:pPr>
      <w:pStyle w:val="Zhlav"/>
    </w:pPr>
    <w:r>
      <w:rPr>
        <w:noProof/>
      </w:rPr>
      <w:object w:dxaOrig="1440" w:dyaOrig="1440" w14:anchorId="6400D3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4.95pt;margin-top:15.5pt;width:88.45pt;height:74.65pt;z-index:251658240;visibility:visible;mso-wrap-edited:f" wrapcoords="-198 0 -198 21365 21600 21365 21600 0 -198 0">
          <v:imagedata r:id="rId1" o:title=""/>
          <w10:wrap type="tight"/>
        </v:shape>
        <o:OLEObject Type="Embed" ProgID="Word.Picture.8" ShapeID="_x0000_s2050" DrawAspect="Content" ObjectID="_1460888370" r:id="rId2"/>
      </w:object>
    </w:r>
    <w:r w:rsidR="009C4613">
      <w:rPr>
        <w:noProof/>
      </w:rPr>
      <w:drawing>
        <wp:anchor distT="0" distB="0" distL="114300" distR="114300" simplePos="0" relativeHeight="251657216" behindDoc="0" locked="0" layoutInCell="1" allowOverlap="1" wp14:anchorId="0EB76088" wp14:editId="2BFF0B49">
          <wp:simplePos x="0" y="0"/>
          <wp:positionH relativeFrom="column">
            <wp:posOffset>-686435</wp:posOffset>
          </wp:positionH>
          <wp:positionV relativeFrom="paragraph">
            <wp:posOffset>-146050</wp:posOffset>
          </wp:positionV>
          <wp:extent cx="3419475" cy="1533525"/>
          <wp:effectExtent l="0" t="0" r="9525" b="9525"/>
          <wp:wrapTight wrapText="bothSides">
            <wp:wrapPolygon edited="0">
              <wp:start x="0" y="0"/>
              <wp:lineTo x="0" y="21466"/>
              <wp:lineTo x="21540" y="21466"/>
              <wp:lineTo x="21540" y="0"/>
              <wp:lineTo x="0" y="0"/>
            </wp:wrapPolygon>
          </wp:wrapTight>
          <wp:docPr id="1" name="obrázek 1" descr="FFUK_logo_cernobily_poz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UK_logo_cernobily_poziti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</w:pPr>
      <w:rPr>
        <w:rFonts w:ascii="Courier New" w:hAnsi="Courier New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</w:pPr>
      <w:rPr>
        <w:rFonts w:ascii="Courier New" w:hAnsi="Courier New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</w:pPr>
      <w:rPr>
        <w:rFonts w:ascii="Courier New" w:hAnsi="Courier New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o"/>
      <w:lvlJc w:val="left"/>
      <w:pPr>
        <w:tabs>
          <w:tab w:val="num" w:pos="720"/>
        </w:tabs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o"/>
      <w:lvlJc w:val="left"/>
      <w:pPr>
        <w:tabs>
          <w:tab w:val="num" w:pos="720"/>
        </w:tabs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720"/>
        </w:tabs>
      </w:pPr>
      <w:rPr>
        <w:rFonts w:ascii="Courier New" w:hAnsi="Courier New"/>
      </w:rPr>
    </w:lvl>
  </w:abstractNum>
  <w:abstractNum w:abstractNumId="7">
    <w:nsid w:val="10C2088C"/>
    <w:multiLevelType w:val="hybridMultilevel"/>
    <w:tmpl w:val="E3EECD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EB12EF"/>
    <w:multiLevelType w:val="hybridMultilevel"/>
    <w:tmpl w:val="37426BB4"/>
    <w:lvl w:ilvl="0" w:tplc="A6267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A77699"/>
    <w:multiLevelType w:val="hybridMultilevel"/>
    <w:tmpl w:val="58F63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5308D"/>
    <w:multiLevelType w:val="multilevel"/>
    <w:tmpl w:val="1AE2AB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04D5237"/>
    <w:multiLevelType w:val="multilevel"/>
    <w:tmpl w:val="8FDC74A4"/>
    <w:lvl w:ilvl="0">
      <w:start w:val="2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14C1462"/>
    <w:multiLevelType w:val="singleLevel"/>
    <w:tmpl w:val="E7DEB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1A73BD8"/>
    <w:multiLevelType w:val="hybridMultilevel"/>
    <w:tmpl w:val="EF60C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9A0EAE"/>
    <w:multiLevelType w:val="singleLevel"/>
    <w:tmpl w:val="E7DEB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FF92AB0"/>
    <w:multiLevelType w:val="hybridMultilevel"/>
    <w:tmpl w:val="D4A66C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CC2C44B4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>
    <w:nsid w:val="317937D7"/>
    <w:multiLevelType w:val="hybridMultilevel"/>
    <w:tmpl w:val="DD4E8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783EB1"/>
    <w:multiLevelType w:val="singleLevel"/>
    <w:tmpl w:val="E7DEB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43D472B"/>
    <w:multiLevelType w:val="hybridMultilevel"/>
    <w:tmpl w:val="1BD28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F084A"/>
    <w:multiLevelType w:val="singleLevel"/>
    <w:tmpl w:val="E7DEB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55D0744"/>
    <w:multiLevelType w:val="hybridMultilevel"/>
    <w:tmpl w:val="A5F2E508"/>
    <w:lvl w:ilvl="0" w:tplc="9F74A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3C7646"/>
    <w:multiLevelType w:val="singleLevel"/>
    <w:tmpl w:val="E7DEB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6A41010"/>
    <w:multiLevelType w:val="hybridMultilevel"/>
    <w:tmpl w:val="847035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7B772E"/>
    <w:multiLevelType w:val="multilevel"/>
    <w:tmpl w:val="F918953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7C0560"/>
    <w:multiLevelType w:val="singleLevel"/>
    <w:tmpl w:val="E7DEB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B495AC4"/>
    <w:multiLevelType w:val="hybridMultilevel"/>
    <w:tmpl w:val="B0149E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035AA4"/>
    <w:multiLevelType w:val="hybridMultilevel"/>
    <w:tmpl w:val="8B9094C2"/>
    <w:lvl w:ilvl="0" w:tplc="73948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A467A8"/>
    <w:multiLevelType w:val="hybridMultilevel"/>
    <w:tmpl w:val="C5FAC44C"/>
    <w:lvl w:ilvl="0" w:tplc="CC2C4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D35109"/>
    <w:multiLevelType w:val="hybridMultilevel"/>
    <w:tmpl w:val="7BCC9F5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1824A1"/>
    <w:multiLevelType w:val="multilevel"/>
    <w:tmpl w:val="436AC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A6280"/>
    <w:multiLevelType w:val="hybridMultilevel"/>
    <w:tmpl w:val="1A988C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D50FE3"/>
    <w:multiLevelType w:val="hybridMultilevel"/>
    <w:tmpl w:val="3176D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F7A89"/>
    <w:multiLevelType w:val="hybridMultilevel"/>
    <w:tmpl w:val="237A4C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6C17EE"/>
    <w:multiLevelType w:val="hybridMultilevel"/>
    <w:tmpl w:val="6DEEC6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C26BC1"/>
    <w:multiLevelType w:val="multilevel"/>
    <w:tmpl w:val="3EC8F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C18753C"/>
    <w:multiLevelType w:val="hybridMultilevel"/>
    <w:tmpl w:val="BF5CA884"/>
    <w:lvl w:ilvl="0" w:tplc="DF929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BF0DB7"/>
    <w:multiLevelType w:val="multilevel"/>
    <w:tmpl w:val="B0425E8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3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480"/>
        <w:lvlJc w:val="left"/>
        <w:pPr>
          <w:ind w:left="780" w:hanging="480"/>
        </w:pPr>
        <w:rPr>
          <w:rFonts w:ascii="Symbol" w:hAnsi="Symbol" w:hint="default"/>
        </w:rPr>
      </w:lvl>
    </w:lvlOverride>
  </w:num>
  <w:num w:numId="5">
    <w:abstractNumId w:val="21"/>
  </w:num>
  <w:num w:numId="6">
    <w:abstractNumId w:val="17"/>
  </w:num>
  <w:num w:numId="7">
    <w:abstractNumId w:val="19"/>
  </w:num>
  <w:num w:numId="8">
    <w:abstractNumId w:val="12"/>
  </w:num>
  <w:num w:numId="9">
    <w:abstractNumId w:val="14"/>
  </w:num>
  <w:num w:numId="10">
    <w:abstractNumId w:val="32"/>
  </w:num>
  <w:num w:numId="11">
    <w:abstractNumId w:val="20"/>
  </w:num>
  <w:num w:numId="12">
    <w:abstractNumId w:val="16"/>
  </w:num>
  <w:num w:numId="13">
    <w:abstractNumId w:val="7"/>
  </w:num>
  <w:num w:numId="14">
    <w:abstractNumId w:val="25"/>
  </w:num>
  <w:num w:numId="15">
    <w:abstractNumId w:val="13"/>
  </w:num>
  <w:num w:numId="16">
    <w:abstractNumId w:val="8"/>
  </w:num>
  <w:num w:numId="17">
    <w:abstractNumId w:val="15"/>
  </w:num>
  <w:num w:numId="18">
    <w:abstractNumId w:val="27"/>
  </w:num>
  <w:num w:numId="19">
    <w:abstractNumId w:val="3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28"/>
  </w:num>
  <w:num w:numId="27">
    <w:abstractNumId w:val="26"/>
  </w:num>
  <w:num w:numId="28">
    <w:abstractNumId w:val="35"/>
  </w:num>
  <w:num w:numId="29">
    <w:abstractNumId w:val="33"/>
  </w:num>
  <w:num w:numId="30">
    <w:abstractNumId w:val="34"/>
  </w:num>
  <w:num w:numId="31">
    <w:abstractNumId w:val="23"/>
  </w:num>
  <w:num w:numId="32">
    <w:abstractNumId w:val="31"/>
  </w:num>
  <w:num w:numId="33">
    <w:abstractNumId w:val="9"/>
  </w:num>
  <w:num w:numId="34">
    <w:abstractNumId w:val="10"/>
  </w:num>
  <w:num w:numId="35">
    <w:abstractNumId w:val="29"/>
  </w:num>
  <w:num w:numId="36">
    <w:abstractNumId w:val="11"/>
  </w:num>
  <w:num w:numId="37">
    <w:abstractNumId w:val="18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FB"/>
    <w:rsid w:val="00000A1D"/>
    <w:rsid w:val="00000D80"/>
    <w:rsid w:val="00004974"/>
    <w:rsid w:val="00006AEF"/>
    <w:rsid w:val="00007C9D"/>
    <w:rsid w:val="0001142B"/>
    <w:rsid w:val="00024003"/>
    <w:rsid w:val="00024811"/>
    <w:rsid w:val="00024B64"/>
    <w:rsid w:val="00025B99"/>
    <w:rsid w:val="000327C6"/>
    <w:rsid w:val="00036610"/>
    <w:rsid w:val="0004281F"/>
    <w:rsid w:val="00050923"/>
    <w:rsid w:val="00056766"/>
    <w:rsid w:val="00062288"/>
    <w:rsid w:val="000657BD"/>
    <w:rsid w:val="00065FBA"/>
    <w:rsid w:val="000708D6"/>
    <w:rsid w:val="00071CBB"/>
    <w:rsid w:val="00072D1E"/>
    <w:rsid w:val="000802E8"/>
    <w:rsid w:val="000826CB"/>
    <w:rsid w:val="00083045"/>
    <w:rsid w:val="00092FBA"/>
    <w:rsid w:val="00093B2D"/>
    <w:rsid w:val="000945E5"/>
    <w:rsid w:val="000A24EB"/>
    <w:rsid w:val="000A38E3"/>
    <w:rsid w:val="000A47AA"/>
    <w:rsid w:val="000A5492"/>
    <w:rsid w:val="000A56E6"/>
    <w:rsid w:val="000A60F9"/>
    <w:rsid w:val="000B4D60"/>
    <w:rsid w:val="000C1610"/>
    <w:rsid w:val="000D564A"/>
    <w:rsid w:val="000E2429"/>
    <w:rsid w:val="000F424D"/>
    <w:rsid w:val="000F4C08"/>
    <w:rsid w:val="00101A1E"/>
    <w:rsid w:val="00111AAC"/>
    <w:rsid w:val="0011211C"/>
    <w:rsid w:val="00116894"/>
    <w:rsid w:val="001271B1"/>
    <w:rsid w:val="0013083C"/>
    <w:rsid w:val="001334DD"/>
    <w:rsid w:val="0013647C"/>
    <w:rsid w:val="00137ED6"/>
    <w:rsid w:val="00140BFE"/>
    <w:rsid w:val="001527D6"/>
    <w:rsid w:val="001565D9"/>
    <w:rsid w:val="00163337"/>
    <w:rsid w:val="00167A47"/>
    <w:rsid w:val="00170F6E"/>
    <w:rsid w:val="0017403B"/>
    <w:rsid w:val="00182C86"/>
    <w:rsid w:val="0019566E"/>
    <w:rsid w:val="001A1A74"/>
    <w:rsid w:val="001A4EED"/>
    <w:rsid w:val="001A7BFF"/>
    <w:rsid w:val="001B180C"/>
    <w:rsid w:val="001B1AAF"/>
    <w:rsid w:val="001B3884"/>
    <w:rsid w:val="001B4673"/>
    <w:rsid w:val="001C3410"/>
    <w:rsid w:val="001C3F8C"/>
    <w:rsid w:val="001C5101"/>
    <w:rsid w:val="001C724A"/>
    <w:rsid w:val="001D012B"/>
    <w:rsid w:val="001D7B9A"/>
    <w:rsid w:val="001D7C70"/>
    <w:rsid w:val="001E0B9D"/>
    <w:rsid w:val="001F4019"/>
    <w:rsid w:val="001F4EE5"/>
    <w:rsid w:val="001F5AEA"/>
    <w:rsid w:val="001F65D4"/>
    <w:rsid w:val="0020044A"/>
    <w:rsid w:val="00201652"/>
    <w:rsid w:val="00204B7A"/>
    <w:rsid w:val="00204B90"/>
    <w:rsid w:val="002050A8"/>
    <w:rsid w:val="00223C71"/>
    <w:rsid w:val="002265AA"/>
    <w:rsid w:val="0023108C"/>
    <w:rsid w:val="00242F65"/>
    <w:rsid w:val="00246463"/>
    <w:rsid w:val="00251634"/>
    <w:rsid w:val="00253620"/>
    <w:rsid w:val="00256753"/>
    <w:rsid w:val="002610EB"/>
    <w:rsid w:val="00263903"/>
    <w:rsid w:val="00265DA9"/>
    <w:rsid w:val="00280A21"/>
    <w:rsid w:val="002914B4"/>
    <w:rsid w:val="00291A9A"/>
    <w:rsid w:val="00293EB1"/>
    <w:rsid w:val="002B0474"/>
    <w:rsid w:val="002B1522"/>
    <w:rsid w:val="002B25D8"/>
    <w:rsid w:val="002B7394"/>
    <w:rsid w:val="002B75B9"/>
    <w:rsid w:val="002C421D"/>
    <w:rsid w:val="002C66AF"/>
    <w:rsid w:val="002C703A"/>
    <w:rsid w:val="002D2E58"/>
    <w:rsid w:val="002E4B42"/>
    <w:rsid w:val="002E658D"/>
    <w:rsid w:val="002F5722"/>
    <w:rsid w:val="00301A8A"/>
    <w:rsid w:val="00306DDD"/>
    <w:rsid w:val="00317EF6"/>
    <w:rsid w:val="003349F5"/>
    <w:rsid w:val="00335C37"/>
    <w:rsid w:val="00337BF2"/>
    <w:rsid w:val="003407C2"/>
    <w:rsid w:val="003421FA"/>
    <w:rsid w:val="0034256F"/>
    <w:rsid w:val="00345245"/>
    <w:rsid w:val="00347A6B"/>
    <w:rsid w:val="003572AD"/>
    <w:rsid w:val="00362B8C"/>
    <w:rsid w:val="003644FD"/>
    <w:rsid w:val="00365137"/>
    <w:rsid w:val="00371A69"/>
    <w:rsid w:val="00372A68"/>
    <w:rsid w:val="0037763D"/>
    <w:rsid w:val="00381948"/>
    <w:rsid w:val="003A16CB"/>
    <w:rsid w:val="003A62F1"/>
    <w:rsid w:val="003A725F"/>
    <w:rsid w:val="003A731E"/>
    <w:rsid w:val="003C137D"/>
    <w:rsid w:val="003C5672"/>
    <w:rsid w:val="003D6505"/>
    <w:rsid w:val="003E34C3"/>
    <w:rsid w:val="003E3AAC"/>
    <w:rsid w:val="003E4A0B"/>
    <w:rsid w:val="003E5DBC"/>
    <w:rsid w:val="003E6AE9"/>
    <w:rsid w:val="003F56F1"/>
    <w:rsid w:val="003F6660"/>
    <w:rsid w:val="003F7553"/>
    <w:rsid w:val="0040041A"/>
    <w:rsid w:val="00400E39"/>
    <w:rsid w:val="00421034"/>
    <w:rsid w:val="00436737"/>
    <w:rsid w:val="0044613A"/>
    <w:rsid w:val="004578AC"/>
    <w:rsid w:val="00460C7C"/>
    <w:rsid w:val="00464426"/>
    <w:rsid w:val="00470A11"/>
    <w:rsid w:val="00472C22"/>
    <w:rsid w:val="0047452E"/>
    <w:rsid w:val="00476AC1"/>
    <w:rsid w:val="00476D88"/>
    <w:rsid w:val="00481571"/>
    <w:rsid w:val="004823A1"/>
    <w:rsid w:val="00484563"/>
    <w:rsid w:val="00486687"/>
    <w:rsid w:val="004915F7"/>
    <w:rsid w:val="00497822"/>
    <w:rsid w:val="00497EAA"/>
    <w:rsid w:val="004A1224"/>
    <w:rsid w:val="004A1610"/>
    <w:rsid w:val="004A1940"/>
    <w:rsid w:val="004A4130"/>
    <w:rsid w:val="004A6F4B"/>
    <w:rsid w:val="004A6F9F"/>
    <w:rsid w:val="004A7F07"/>
    <w:rsid w:val="004B0FBB"/>
    <w:rsid w:val="004C2222"/>
    <w:rsid w:val="004C31C7"/>
    <w:rsid w:val="004D1019"/>
    <w:rsid w:val="004E39CD"/>
    <w:rsid w:val="004E4D70"/>
    <w:rsid w:val="004F099A"/>
    <w:rsid w:val="004F2BFB"/>
    <w:rsid w:val="004F2C0E"/>
    <w:rsid w:val="004F5E30"/>
    <w:rsid w:val="004F6E66"/>
    <w:rsid w:val="004F7FC8"/>
    <w:rsid w:val="005154C2"/>
    <w:rsid w:val="00516E8E"/>
    <w:rsid w:val="00517943"/>
    <w:rsid w:val="00517B3C"/>
    <w:rsid w:val="00520CBB"/>
    <w:rsid w:val="005234C5"/>
    <w:rsid w:val="0052577A"/>
    <w:rsid w:val="00530399"/>
    <w:rsid w:val="005313F2"/>
    <w:rsid w:val="00531921"/>
    <w:rsid w:val="00535822"/>
    <w:rsid w:val="005538DE"/>
    <w:rsid w:val="00561E34"/>
    <w:rsid w:val="00563C5C"/>
    <w:rsid w:val="00564426"/>
    <w:rsid w:val="0057290C"/>
    <w:rsid w:val="00574778"/>
    <w:rsid w:val="005761A1"/>
    <w:rsid w:val="00576B22"/>
    <w:rsid w:val="00587057"/>
    <w:rsid w:val="0059360E"/>
    <w:rsid w:val="0059365C"/>
    <w:rsid w:val="00593F0F"/>
    <w:rsid w:val="00595C4C"/>
    <w:rsid w:val="005961EC"/>
    <w:rsid w:val="005A56BB"/>
    <w:rsid w:val="005A7125"/>
    <w:rsid w:val="005A74D9"/>
    <w:rsid w:val="005B003E"/>
    <w:rsid w:val="005B780D"/>
    <w:rsid w:val="005C1196"/>
    <w:rsid w:val="005C2AC8"/>
    <w:rsid w:val="005C5F1D"/>
    <w:rsid w:val="005C7BAF"/>
    <w:rsid w:val="005F021D"/>
    <w:rsid w:val="005F37CA"/>
    <w:rsid w:val="00610240"/>
    <w:rsid w:val="006114E8"/>
    <w:rsid w:val="00611B0E"/>
    <w:rsid w:val="00611C0D"/>
    <w:rsid w:val="0061493A"/>
    <w:rsid w:val="00620A99"/>
    <w:rsid w:val="006276A3"/>
    <w:rsid w:val="00632016"/>
    <w:rsid w:val="00632F48"/>
    <w:rsid w:val="00650D26"/>
    <w:rsid w:val="00651123"/>
    <w:rsid w:val="00657D9F"/>
    <w:rsid w:val="006623A1"/>
    <w:rsid w:val="006628FA"/>
    <w:rsid w:val="006657F3"/>
    <w:rsid w:val="00670DE0"/>
    <w:rsid w:val="006728AA"/>
    <w:rsid w:val="00674579"/>
    <w:rsid w:val="006753D2"/>
    <w:rsid w:val="00675D3D"/>
    <w:rsid w:val="006811D0"/>
    <w:rsid w:val="0068331D"/>
    <w:rsid w:val="00684CF4"/>
    <w:rsid w:val="006873DC"/>
    <w:rsid w:val="00690E75"/>
    <w:rsid w:val="00692CA0"/>
    <w:rsid w:val="006A2239"/>
    <w:rsid w:val="006A7FB5"/>
    <w:rsid w:val="006B2A23"/>
    <w:rsid w:val="006B4221"/>
    <w:rsid w:val="006B51ED"/>
    <w:rsid w:val="006C079B"/>
    <w:rsid w:val="006D36AC"/>
    <w:rsid w:val="006D3753"/>
    <w:rsid w:val="006E2B28"/>
    <w:rsid w:val="006E32D3"/>
    <w:rsid w:val="006F07D2"/>
    <w:rsid w:val="006F3B77"/>
    <w:rsid w:val="006F3CDE"/>
    <w:rsid w:val="006F73CF"/>
    <w:rsid w:val="00705765"/>
    <w:rsid w:val="00710A2D"/>
    <w:rsid w:val="007132AA"/>
    <w:rsid w:val="00716F76"/>
    <w:rsid w:val="0072336E"/>
    <w:rsid w:val="00723E28"/>
    <w:rsid w:val="00724961"/>
    <w:rsid w:val="00727C0B"/>
    <w:rsid w:val="007324D1"/>
    <w:rsid w:val="007421B6"/>
    <w:rsid w:val="007425DE"/>
    <w:rsid w:val="007446FC"/>
    <w:rsid w:val="0075031D"/>
    <w:rsid w:val="00756D48"/>
    <w:rsid w:val="00770E17"/>
    <w:rsid w:val="0077222B"/>
    <w:rsid w:val="00772494"/>
    <w:rsid w:val="007727AD"/>
    <w:rsid w:val="00785441"/>
    <w:rsid w:val="00785C55"/>
    <w:rsid w:val="00793F7F"/>
    <w:rsid w:val="00795644"/>
    <w:rsid w:val="007A2382"/>
    <w:rsid w:val="007A566A"/>
    <w:rsid w:val="007B0CAE"/>
    <w:rsid w:val="007C2011"/>
    <w:rsid w:val="007D10B0"/>
    <w:rsid w:val="007D7539"/>
    <w:rsid w:val="007E2C3B"/>
    <w:rsid w:val="007E5076"/>
    <w:rsid w:val="007E60D0"/>
    <w:rsid w:val="007E79E5"/>
    <w:rsid w:val="007F3B40"/>
    <w:rsid w:val="007F7A21"/>
    <w:rsid w:val="0080082D"/>
    <w:rsid w:val="00801D5A"/>
    <w:rsid w:val="008036DF"/>
    <w:rsid w:val="0080375F"/>
    <w:rsid w:val="00804BAA"/>
    <w:rsid w:val="00824C21"/>
    <w:rsid w:val="00830D9C"/>
    <w:rsid w:val="0083621E"/>
    <w:rsid w:val="00836600"/>
    <w:rsid w:val="00841358"/>
    <w:rsid w:val="00851665"/>
    <w:rsid w:val="0086099A"/>
    <w:rsid w:val="008667CD"/>
    <w:rsid w:val="00871AF9"/>
    <w:rsid w:val="0087449A"/>
    <w:rsid w:val="00874C96"/>
    <w:rsid w:val="00882FC9"/>
    <w:rsid w:val="00883A67"/>
    <w:rsid w:val="008A1B66"/>
    <w:rsid w:val="008A6744"/>
    <w:rsid w:val="008B10FF"/>
    <w:rsid w:val="008B6256"/>
    <w:rsid w:val="008C05FF"/>
    <w:rsid w:val="008D31FA"/>
    <w:rsid w:val="008D3CC1"/>
    <w:rsid w:val="008E257E"/>
    <w:rsid w:val="008F00F2"/>
    <w:rsid w:val="008F3F23"/>
    <w:rsid w:val="008F6F53"/>
    <w:rsid w:val="009243C1"/>
    <w:rsid w:val="00931CF7"/>
    <w:rsid w:val="00932AC3"/>
    <w:rsid w:val="00937408"/>
    <w:rsid w:val="00940AFB"/>
    <w:rsid w:val="009421AA"/>
    <w:rsid w:val="009553A6"/>
    <w:rsid w:val="00956D10"/>
    <w:rsid w:val="009665D8"/>
    <w:rsid w:val="0097333A"/>
    <w:rsid w:val="0098040E"/>
    <w:rsid w:val="009838BD"/>
    <w:rsid w:val="00983CB2"/>
    <w:rsid w:val="00986185"/>
    <w:rsid w:val="00993638"/>
    <w:rsid w:val="009936FB"/>
    <w:rsid w:val="009953BA"/>
    <w:rsid w:val="00995B25"/>
    <w:rsid w:val="009A1B0A"/>
    <w:rsid w:val="009B1108"/>
    <w:rsid w:val="009C4613"/>
    <w:rsid w:val="009C5641"/>
    <w:rsid w:val="009D3381"/>
    <w:rsid w:val="009D5A81"/>
    <w:rsid w:val="009D5BA2"/>
    <w:rsid w:val="009E2F17"/>
    <w:rsid w:val="009E534F"/>
    <w:rsid w:val="009E6C5B"/>
    <w:rsid w:val="009E7D77"/>
    <w:rsid w:val="009F2C9B"/>
    <w:rsid w:val="009F63AE"/>
    <w:rsid w:val="00A0002B"/>
    <w:rsid w:val="00A05C77"/>
    <w:rsid w:val="00A06937"/>
    <w:rsid w:val="00A06EEC"/>
    <w:rsid w:val="00A10725"/>
    <w:rsid w:val="00A117B1"/>
    <w:rsid w:val="00A204DE"/>
    <w:rsid w:val="00A20E05"/>
    <w:rsid w:val="00A20E48"/>
    <w:rsid w:val="00A22099"/>
    <w:rsid w:val="00A25A97"/>
    <w:rsid w:val="00A27F86"/>
    <w:rsid w:val="00A35CBB"/>
    <w:rsid w:val="00A4039C"/>
    <w:rsid w:val="00A41756"/>
    <w:rsid w:val="00A41847"/>
    <w:rsid w:val="00A47E24"/>
    <w:rsid w:val="00A50AEA"/>
    <w:rsid w:val="00A51575"/>
    <w:rsid w:val="00A5296C"/>
    <w:rsid w:val="00A569BA"/>
    <w:rsid w:val="00A6047D"/>
    <w:rsid w:val="00A61B92"/>
    <w:rsid w:val="00A63FB9"/>
    <w:rsid w:val="00A66D57"/>
    <w:rsid w:val="00A70DCA"/>
    <w:rsid w:val="00A71A52"/>
    <w:rsid w:val="00A75E04"/>
    <w:rsid w:val="00A87098"/>
    <w:rsid w:val="00A90ECE"/>
    <w:rsid w:val="00A938A0"/>
    <w:rsid w:val="00A956E6"/>
    <w:rsid w:val="00A95E13"/>
    <w:rsid w:val="00AA015D"/>
    <w:rsid w:val="00AA71E7"/>
    <w:rsid w:val="00AB314A"/>
    <w:rsid w:val="00AB47F0"/>
    <w:rsid w:val="00AC3D32"/>
    <w:rsid w:val="00AC43C1"/>
    <w:rsid w:val="00AC6A5A"/>
    <w:rsid w:val="00AD5891"/>
    <w:rsid w:val="00AD5C3E"/>
    <w:rsid w:val="00AE13FF"/>
    <w:rsid w:val="00AE747D"/>
    <w:rsid w:val="00AF3D3A"/>
    <w:rsid w:val="00AF3FBF"/>
    <w:rsid w:val="00AF42B2"/>
    <w:rsid w:val="00B03C76"/>
    <w:rsid w:val="00B046CE"/>
    <w:rsid w:val="00B054BB"/>
    <w:rsid w:val="00B06B42"/>
    <w:rsid w:val="00B2726D"/>
    <w:rsid w:val="00B3371B"/>
    <w:rsid w:val="00B409CE"/>
    <w:rsid w:val="00B43041"/>
    <w:rsid w:val="00B4472B"/>
    <w:rsid w:val="00B46F14"/>
    <w:rsid w:val="00B47488"/>
    <w:rsid w:val="00B528DE"/>
    <w:rsid w:val="00B52B75"/>
    <w:rsid w:val="00B52F60"/>
    <w:rsid w:val="00B54252"/>
    <w:rsid w:val="00B617C5"/>
    <w:rsid w:val="00B6458E"/>
    <w:rsid w:val="00B66847"/>
    <w:rsid w:val="00B66B55"/>
    <w:rsid w:val="00B6725C"/>
    <w:rsid w:val="00B77EAF"/>
    <w:rsid w:val="00B84A80"/>
    <w:rsid w:val="00B92CE6"/>
    <w:rsid w:val="00BA335E"/>
    <w:rsid w:val="00BA44DB"/>
    <w:rsid w:val="00BB4C45"/>
    <w:rsid w:val="00BB6060"/>
    <w:rsid w:val="00BD2F64"/>
    <w:rsid w:val="00BE5AC5"/>
    <w:rsid w:val="00BF2D37"/>
    <w:rsid w:val="00BF7A1B"/>
    <w:rsid w:val="00C0465B"/>
    <w:rsid w:val="00C053C7"/>
    <w:rsid w:val="00C05453"/>
    <w:rsid w:val="00C058B5"/>
    <w:rsid w:val="00C15C39"/>
    <w:rsid w:val="00C277C5"/>
    <w:rsid w:val="00C27A76"/>
    <w:rsid w:val="00C27D37"/>
    <w:rsid w:val="00C31685"/>
    <w:rsid w:val="00C32CDD"/>
    <w:rsid w:val="00C36B0E"/>
    <w:rsid w:val="00C442CD"/>
    <w:rsid w:val="00C4687C"/>
    <w:rsid w:val="00C53B2A"/>
    <w:rsid w:val="00C54C83"/>
    <w:rsid w:val="00C645C9"/>
    <w:rsid w:val="00C67052"/>
    <w:rsid w:val="00C7100F"/>
    <w:rsid w:val="00C72F05"/>
    <w:rsid w:val="00C76AF3"/>
    <w:rsid w:val="00C816F0"/>
    <w:rsid w:val="00C9353E"/>
    <w:rsid w:val="00C971F7"/>
    <w:rsid w:val="00C9739C"/>
    <w:rsid w:val="00CA585E"/>
    <w:rsid w:val="00CC3AF2"/>
    <w:rsid w:val="00CC43BD"/>
    <w:rsid w:val="00CC5514"/>
    <w:rsid w:val="00CC5878"/>
    <w:rsid w:val="00CD0117"/>
    <w:rsid w:val="00CD2627"/>
    <w:rsid w:val="00CD28E5"/>
    <w:rsid w:val="00CD48E8"/>
    <w:rsid w:val="00CD493C"/>
    <w:rsid w:val="00CD5738"/>
    <w:rsid w:val="00CD740A"/>
    <w:rsid w:val="00CE3A6F"/>
    <w:rsid w:val="00CE44A9"/>
    <w:rsid w:val="00CF15D5"/>
    <w:rsid w:val="00CF3916"/>
    <w:rsid w:val="00D00DF0"/>
    <w:rsid w:val="00D01DBD"/>
    <w:rsid w:val="00D02CD0"/>
    <w:rsid w:val="00D03CB6"/>
    <w:rsid w:val="00D11EB2"/>
    <w:rsid w:val="00D16AEB"/>
    <w:rsid w:val="00D275CB"/>
    <w:rsid w:val="00D51811"/>
    <w:rsid w:val="00D54BCC"/>
    <w:rsid w:val="00D6004D"/>
    <w:rsid w:val="00D633F1"/>
    <w:rsid w:val="00D67031"/>
    <w:rsid w:val="00D675D4"/>
    <w:rsid w:val="00D70690"/>
    <w:rsid w:val="00D71C3A"/>
    <w:rsid w:val="00D815C5"/>
    <w:rsid w:val="00D822C2"/>
    <w:rsid w:val="00D85453"/>
    <w:rsid w:val="00D86620"/>
    <w:rsid w:val="00D90C6D"/>
    <w:rsid w:val="00D92C90"/>
    <w:rsid w:val="00DA4EA2"/>
    <w:rsid w:val="00DA52EC"/>
    <w:rsid w:val="00DA67C1"/>
    <w:rsid w:val="00DA6E4B"/>
    <w:rsid w:val="00DB1F9A"/>
    <w:rsid w:val="00DB5228"/>
    <w:rsid w:val="00DC0FF8"/>
    <w:rsid w:val="00DC2C55"/>
    <w:rsid w:val="00DD461B"/>
    <w:rsid w:val="00DE6D5C"/>
    <w:rsid w:val="00DE700D"/>
    <w:rsid w:val="00DF3AA6"/>
    <w:rsid w:val="00DF4D7A"/>
    <w:rsid w:val="00E02D51"/>
    <w:rsid w:val="00E07D33"/>
    <w:rsid w:val="00E10B32"/>
    <w:rsid w:val="00E11858"/>
    <w:rsid w:val="00E11D46"/>
    <w:rsid w:val="00E11E7D"/>
    <w:rsid w:val="00E1716F"/>
    <w:rsid w:val="00E2021B"/>
    <w:rsid w:val="00E27086"/>
    <w:rsid w:val="00E3097A"/>
    <w:rsid w:val="00E30F10"/>
    <w:rsid w:val="00E31BA4"/>
    <w:rsid w:val="00E34E19"/>
    <w:rsid w:val="00E40783"/>
    <w:rsid w:val="00E40853"/>
    <w:rsid w:val="00E468F6"/>
    <w:rsid w:val="00E470AB"/>
    <w:rsid w:val="00E51892"/>
    <w:rsid w:val="00E55CC5"/>
    <w:rsid w:val="00E57CC0"/>
    <w:rsid w:val="00E61EAB"/>
    <w:rsid w:val="00E655E1"/>
    <w:rsid w:val="00E72317"/>
    <w:rsid w:val="00E74420"/>
    <w:rsid w:val="00E74A14"/>
    <w:rsid w:val="00E76549"/>
    <w:rsid w:val="00E81E46"/>
    <w:rsid w:val="00E83B38"/>
    <w:rsid w:val="00E90C18"/>
    <w:rsid w:val="00E95CB2"/>
    <w:rsid w:val="00E96AA1"/>
    <w:rsid w:val="00EA6F9C"/>
    <w:rsid w:val="00EA7EDE"/>
    <w:rsid w:val="00EB13FC"/>
    <w:rsid w:val="00EB638F"/>
    <w:rsid w:val="00EC3828"/>
    <w:rsid w:val="00EC4F04"/>
    <w:rsid w:val="00ED62B5"/>
    <w:rsid w:val="00EE0667"/>
    <w:rsid w:val="00EE2E40"/>
    <w:rsid w:val="00EE45F5"/>
    <w:rsid w:val="00EF1AD0"/>
    <w:rsid w:val="00EF667B"/>
    <w:rsid w:val="00F069D3"/>
    <w:rsid w:val="00F074D3"/>
    <w:rsid w:val="00F10A4C"/>
    <w:rsid w:val="00F167DF"/>
    <w:rsid w:val="00F170DA"/>
    <w:rsid w:val="00F2588E"/>
    <w:rsid w:val="00F32508"/>
    <w:rsid w:val="00F371A7"/>
    <w:rsid w:val="00F439BC"/>
    <w:rsid w:val="00F47D13"/>
    <w:rsid w:val="00F504D1"/>
    <w:rsid w:val="00F571EA"/>
    <w:rsid w:val="00F63514"/>
    <w:rsid w:val="00F6736D"/>
    <w:rsid w:val="00F75680"/>
    <w:rsid w:val="00F76596"/>
    <w:rsid w:val="00F7686C"/>
    <w:rsid w:val="00F77F76"/>
    <w:rsid w:val="00F80FAF"/>
    <w:rsid w:val="00F8164E"/>
    <w:rsid w:val="00F81A81"/>
    <w:rsid w:val="00F91C9D"/>
    <w:rsid w:val="00F952EB"/>
    <w:rsid w:val="00FA7837"/>
    <w:rsid w:val="00FB7DD4"/>
    <w:rsid w:val="00FC0543"/>
    <w:rsid w:val="00FE12D8"/>
    <w:rsid w:val="00FE13B8"/>
    <w:rsid w:val="00FE194F"/>
    <w:rsid w:val="00FE1CD4"/>
    <w:rsid w:val="00FE447C"/>
    <w:rsid w:val="00FE5AF8"/>
    <w:rsid w:val="00FE5C57"/>
    <w:rsid w:val="00FE5E11"/>
    <w:rsid w:val="00FE667A"/>
    <w:rsid w:val="00FE7371"/>
    <w:rsid w:val="00FF0D20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327EF63C-9B93-4A90-8FF5-9712D324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 w:eastAsia="cs-CZ"/>
    </w:rPr>
  </w:style>
  <w:style w:type="paragraph" w:styleId="Nadpis1">
    <w:name w:val="heading 1"/>
    <w:basedOn w:val="Normln"/>
    <w:next w:val="Normln"/>
    <w:qFormat/>
    <w:pPr>
      <w:keepNext/>
      <w:tabs>
        <w:tab w:val="left" w:pos="-720"/>
        <w:tab w:val="left" w:pos="0"/>
      </w:tabs>
      <w:suppressAutoHyphens/>
      <w:spacing w:line="288" w:lineRule="auto"/>
      <w:jc w:val="both"/>
      <w:outlineLvl w:val="0"/>
    </w:pPr>
    <w:rPr>
      <w:b/>
      <w:i/>
      <w:spacing w:val="-3"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-720"/>
        <w:tab w:val="left" w:pos="0"/>
        <w:tab w:val="left" w:pos="360"/>
      </w:tabs>
      <w:suppressAutoHyphens/>
      <w:spacing w:line="288" w:lineRule="auto"/>
      <w:outlineLvl w:val="1"/>
    </w:pPr>
    <w:rPr>
      <w:spacing w:val="-3"/>
      <w:sz w:val="24"/>
      <w:lang w:val="en-US"/>
    </w:rPr>
  </w:style>
  <w:style w:type="paragraph" w:styleId="Nadpis3">
    <w:name w:val="heading 3"/>
    <w:basedOn w:val="Normln"/>
    <w:next w:val="Normln"/>
    <w:qFormat/>
    <w:pPr>
      <w:keepNext/>
      <w:tabs>
        <w:tab w:val="left" w:pos="-720"/>
        <w:tab w:val="left" w:pos="360"/>
      </w:tabs>
      <w:suppressAutoHyphens/>
      <w:spacing w:line="288" w:lineRule="auto"/>
      <w:jc w:val="both"/>
      <w:outlineLvl w:val="2"/>
    </w:pPr>
    <w:rPr>
      <w:spacing w:val="-3"/>
      <w:sz w:val="24"/>
    </w:rPr>
  </w:style>
  <w:style w:type="paragraph" w:styleId="Nadpis4">
    <w:name w:val="heading 4"/>
    <w:basedOn w:val="Normln"/>
    <w:next w:val="Normln"/>
    <w:qFormat/>
    <w:pPr>
      <w:keepNext/>
      <w:ind w:firstLine="708"/>
      <w:jc w:val="both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ind w:firstLine="708"/>
      <w:jc w:val="both"/>
      <w:outlineLvl w:val="4"/>
    </w:pPr>
    <w:rPr>
      <w:color w:val="000000"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pacing w:val="-3"/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tabs>
        <w:tab w:val="left" w:pos="-720"/>
        <w:tab w:val="left" w:pos="0"/>
      </w:tabs>
      <w:suppressAutoHyphens/>
      <w:spacing w:before="120"/>
      <w:outlineLvl w:val="7"/>
    </w:pPr>
    <w:rPr>
      <w:b/>
      <w:i/>
      <w:spacing w:val="-3"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Tahoma" w:hAnsi="Tahoma" w:cs="Tahoma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-720"/>
        <w:tab w:val="left" w:pos="0"/>
      </w:tabs>
      <w:suppressAutoHyphens/>
      <w:spacing w:line="288" w:lineRule="auto"/>
      <w:jc w:val="both"/>
    </w:pPr>
    <w:rPr>
      <w:spacing w:val="-3"/>
      <w:sz w:val="24"/>
    </w:rPr>
  </w:style>
  <w:style w:type="paragraph" w:customStyle="1" w:styleId="Zkladntext21">
    <w:name w:val="Základní text 21"/>
    <w:basedOn w:val="Normln"/>
    <w:pPr>
      <w:ind w:firstLine="600"/>
    </w:pPr>
    <w:rPr>
      <w:sz w:val="24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ind w:firstLine="360"/>
      <w:jc w:val="both"/>
    </w:pPr>
    <w:rPr>
      <w:sz w:val="24"/>
      <w:szCs w:val="24"/>
    </w:r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l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7">
    <w:name w:val="font7"/>
    <w:basedOn w:val="Normln"/>
    <w:pPr>
      <w:spacing w:before="100" w:beforeAutospacing="1" w:after="100" w:afterAutospacing="1"/>
    </w:pPr>
    <w:rPr>
      <w:rFonts w:ascii="Arial" w:eastAsia="Arial Unicode MS" w:hAnsi="Arial" w:cs="Arial"/>
      <w:color w:val="3366FF"/>
    </w:rPr>
  </w:style>
  <w:style w:type="paragraph" w:customStyle="1" w:styleId="xl24">
    <w:name w:val="xl24"/>
    <w:basedOn w:val="Normln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Normln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27">
    <w:name w:val="xl27"/>
    <w:basedOn w:val="Normln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28">
    <w:name w:val="xl28"/>
    <w:basedOn w:val="Normln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9">
    <w:name w:val="xl29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0">
    <w:name w:val="xl30"/>
    <w:basedOn w:val="Normln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1">
    <w:name w:val="xl31"/>
    <w:basedOn w:val="Normln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2">
    <w:name w:val="xl32"/>
    <w:basedOn w:val="Normln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33">
    <w:name w:val="xl33"/>
    <w:basedOn w:val="Normln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5">
    <w:name w:val="xl35"/>
    <w:basedOn w:val="Normln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6">
    <w:name w:val="xl36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color w:val="FF0000"/>
      <w:sz w:val="24"/>
      <w:szCs w:val="24"/>
    </w:rPr>
  </w:style>
  <w:style w:type="paragraph" w:customStyle="1" w:styleId="xl37">
    <w:name w:val="xl3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color w:val="FF0000"/>
      <w:sz w:val="24"/>
      <w:szCs w:val="24"/>
    </w:rPr>
  </w:style>
  <w:style w:type="paragraph" w:customStyle="1" w:styleId="xl38">
    <w:name w:val="xl38"/>
    <w:basedOn w:val="Norml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3366FF"/>
      <w:sz w:val="24"/>
      <w:szCs w:val="24"/>
    </w:rPr>
  </w:style>
  <w:style w:type="paragraph" w:customStyle="1" w:styleId="xl39">
    <w:name w:val="xl3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3366FF"/>
      <w:sz w:val="24"/>
      <w:szCs w:val="24"/>
    </w:rPr>
  </w:style>
  <w:style w:type="paragraph" w:customStyle="1" w:styleId="xl40">
    <w:name w:val="xl40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3366FF"/>
      <w:sz w:val="24"/>
      <w:szCs w:val="24"/>
    </w:rPr>
  </w:style>
  <w:style w:type="paragraph" w:customStyle="1" w:styleId="xl41">
    <w:name w:val="xl41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3366FF"/>
      <w:sz w:val="24"/>
      <w:szCs w:val="24"/>
    </w:rPr>
  </w:style>
  <w:style w:type="paragraph" w:customStyle="1" w:styleId="xl42">
    <w:name w:val="xl42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43">
    <w:name w:val="xl43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44">
    <w:name w:val="xl4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3366FF"/>
      <w:sz w:val="24"/>
      <w:szCs w:val="24"/>
    </w:rPr>
  </w:style>
  <w:style w:type="paragraph" w:customStyle="1" w:styleId="xl46">
    <w:name w:val="xl46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47">
    <w:name w:val="xl47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Norml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49">
    <w:name w:val="xl49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Norml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3366FF"/>
      <w:sz w:val="24"/>
      <w:szCs w:val="24"/>
    </w:rPr>
  </w:style>
  <w:style w:type="paragraph" w:customStyle="1" w:styleId="xl51">
    <w:name w:val="xl51"/>
    <w:basedOn w:val="Normln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3366FF"/>
      <w:sz w:val="24"/>
      <w:szCs w:val="24"/>
    </w:rPr>
  </w:style>
  <w:style w:type="paragraph" w:customStyle="1" w:styleId="xl52">
    <w:name w:val="xl52"/>
    <w:basedOn w:val="Normln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3366FF"/>
      <w:sz w:val="24"/>
      <w:szCs w:val="24"/>
    </w:rPr>
  </w:style>
  <w:style w:type="paragraph" w:customStyle="1" w:styleId="xl53">
    <w:name w:val="xl53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3366FF"/>
      <w:sz w:val="24"/>
      <w:szCs w:val="24"/>
    </w:rPr>
  </w:style>
  <w:style w:type="paragraph" w:customStyle="1" w:styleId="xl54">
    <w:name w:val="xl54"/>
    <w:basedOn w:val="Norml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3366FF"/>
      <w:sz w:val="24"/>
      <w:szCs w:val="24"/>
    </w:rPr>
  </w:style>
  <w:style w:type="paragraph" w:customStyle="1" w:styleId="xl55">
    <w:name w:val="xl55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3366FF"/>
      <w:sz w:val="24"/>
      <w:szCs w:val="24"/>
    </w:rPr>
  </w:style>
  <w:style w:type="paragraph" w:customStyle="1" w:styleId="xl56">
    <w:name w:val="xl56"/>
    <w:basedOn w:val="Norml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3366FF"/>
      <w:sz w:val="24"/>
      <w:szCs w:val="24"/>
    </w:rPr>
  </w:style>
  <w:style w:type="paragraph" w:customStyle="1" w:styleId="xl57">
    <w:name w:val="xl57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3366FF"/>
      <w:sz w:val="24"/>
      <w:szCs w:val="24"/>
    </w:rPr>
  </w:style>
  <w:style w:type="paragraph" w:customStyle="1" w:styleId="xl58">
    <w:name w:val="xl58"/>
    <w:basedOn w:val="Normln"/>
    <w:pP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60">
    <w:name w:val="xl60"/>
    <w:basedOn w:val="Normln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1">
    <w:name w:val="xl61"/>
    <w:basedOn w:val="Normln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2">
    <w:name w:val="xl62"/>
    <w:basedOn w:val="Norml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3">
    <w:name w:val="xl63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color w:val="FF0000"/>
      <w:sz w:val="24"/>
      <w:szCs w:val="24"/>
    </w:rPr>
  </w:style>
  <w:style w:type="paragraph" w:customStyle="1" w:styleId="xl64">
    <w:name w:val="xl6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color w:val="FF0000"/>
      <w:sz w:val="24"/>
      <w:szCs w:val="24"/>
    </w:rPr>
  </w:style>
  <w:style w:type="paragraph" w:customStyle="1" w:styleId="xl65">
    <w:name w:val="xl6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color w:val="3366FF"/>
      <w:sz w:val="24"/>
      <w:szCs w:val="24"/>
    </w:rPr>
  </w:style>
  <w:style w:type="paragraph" w:customStyle="1" w:styleId="xl66">
    <w:name w:val="xl6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color w:val="3366FF"/>
      <w:sz w:val="24"/>
      <w:szCs w:val="24"/>
    </w:rPr>
  </w:style>
  <w:style w:type="paragraph" w:customStyle="1" w:styleId="xl67">
    <w:name w:val="xl6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3366FF"/>
      <w:sz w:val="24"/>
      <w:szCs w:val="24"/>
    </w:rPr>
  </w:style>
  <w:style w:type="paragraph" w:customStyle="1" w:styleId="xl68">
    <w:name w:val="xl6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3366FF"/>
      <w:sz w:val="24"/>
      <w:szCs w:val="24"/>
    </w:rPr>
  </w:style>
  <w:style w:type="paragraph" w:customStyle="1" w:styleId="xl69">
    <w:name w:val="xl69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70">
    <w:name w:val="xl70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styleId="Zkladntext2">
    <w:name w:val="Body Text 2"/>
    <w:basedOn w:val="Normln"/>
    <w:rPr>
      <w:color w:val="000000"/>
      <w:sz w:val="24"/>
    </w:rPr>
  </w:style>
  <w:style w:type="paragraph" w:styleId="Zkladntextodsazen3">
    <w:name w:val="Body Text Indent 3"/>
    <w:basedOn w:val="Normln"/>
    <w:pPr>
      <w:ind w:firstLine="708"/>
      <w:jc w:val="both"/>
    </w:pPr>
    <w:rPr>
      <w:color w:val="00FF00"/>
      <w:sz w:val="24"/>
    </w:rPr>
  </w:style>
  <w:style w:type="paragraph" w:styleId="Zkladntext3">
    <w:name w:val="Body Text 3"/>
    <w:basedOn w:val="Normln"/>
    <w:pPr>
      <w:jc w:val="both"/>
    </w:pPr>
  </w:style>
  <w:style w:type="paragraph" w:customStyle="1" w:styleId="xl71">
    <w:name w:val="xl71"/>
    <w:basedOn w:val="Normln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72">
    <w:name w:val="xl7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73">
    <w:name w:val="xl73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74">
    <w:name w:val="xl74"/>
    <w:basedOn w:val="Normln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75">
    <w:name w:val="xl75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76">
    <w:name w:val="xl76"/>
    <w:basedOn w:val="Norml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77">
    <w:name w:val="xl77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78">
    <w:name w:val="xl78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sz w:val="16"/>
      <w:szCs w:val="16"/>
    </w:rPr>
  </w:style>
  <w:style w:type="paragraph" w:customStyle="1" w:styleId="xl79">
    <w:name w:val="xl79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80">
    <w:name w:val="xl80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81">
    <w:name w:val="xl81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82">
    <w:name w:val="xl82"/>
    <w:basedOn w:val="Normln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83">
    <w:name w:val="xl83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84">
    <w:name w:val="xl84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85">
    <w:name w:val="xl8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86">
    <w:name w:val="xl86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87">
    <w:name w:val="xl87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88">
    <w:name w:val="xl88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sz w:val="16"/>
      <w:szCs w:val="16"/>
    </w:rPr>
  </w:style>
  <w:style w:type="paragraph" w:customStyle="1" w:styleId="xl89">
    <w:name w:val="xl89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sz w:val="16"/>
      <w:szCs w:val="16"/>
    </w:rPr>
  </w:style>
  <w:style w:type="paragraph" w:customStyle="1" w:styleId="xl90">
    <w:name w:val="xl90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91">
    <w:name w:val="xl91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92">
    <w:name w:val="xl92"/>
    <w:basedOn w:val="Normln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93">
    <w:name w:val="xl93"/>
    <w:basedOn w:val="Normln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94">
    <w:name w:val="xl94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95">
    <w:name w:val="xl95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96">
    <w:name w:val="xl9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97">
    <w:name w:val="xl97"/>
    <w:basedOn w:val="Normln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98">
    <w:name w:val="xl98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99">
    <w:name w:val="xl99"/>
    <w:basedOn w:val="Normln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100">
    <w:name w:val="xl100"/>
    <w:basedOn w:val="Normln"/>
    <w:pPr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101">
    <w:name w:val="xl101"/>
    <w:basedOn w:val="Normln"/>
    <w:pPr>
      <w:pBdr>
        <w:left w:val="single" w:sz="4" w:space="0" w:color="auto"/>
      </w:pBdr>
      <w:shd w:val="clear" w:color="auto" w:fill="CCFFCC"/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102">
    <w:name w:val="xl102"/>
    <w:basedOn w:val="Normln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103">
    <w:name w:val="xl103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104">
    <w:name w:val="xl104"/>
    <w:basedOn w:val="Normln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105">
    <w:name w:val="xl105"/>
    <w:basedOn w:val="Normln"/>
    <w:pPr>
      <w:pBdr>
        <w:left w:val="single" w:sz="4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106">
    <w:name w:val="xl106"/>
    <w:basedOn w:val="Normln"/>
    <w:pPr>
      <w:pBdr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Tahoma" w:eastAsia="Arial Unicode MS" w:hAnsi="Tahoma" w:cs="Tahoma"/>
      <w:i/>
      <w:iCs/>
      <w:color w:val="FF0000"/>
      <w:sz w:val="16"/>
      <w:szCs w:val="16"/>
    </w:rPr>
  </w:style>
  <w:style w:type="paragraph" w:customStyle="1" w:styleId="xl107">
    <w:name w:val="xl107"/>
    <w:basedOn w:val="Normln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Tahoma" w:eastAsia="Arial Unicode MS" w:hAnsi="Tahoma" w:cs="Tahoma"/>
      <w:i/>
      <w:iCs/>
      <w:color w:val="FF0000"/>
      <w:sz w:val="16"/>
      <w:szCs w:val="16"/>
    </w:rPr>
  </w:style>
  <w:style w:type="paragraph" w:customStyle="1" w:styleId="xl108">
    <w:name w:val="xl108"/>
    <w:basedOn w:val="Normln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Tahoma" w:eastAsia="Arial Unicode MS" w:hAnsi="Tahoma" w:cs="Tahoma"/>
      <w:sz w:val="16"/>
      <w:szCs w:val="16"/>
    </w:rPr>
  </w:style>
  <w:style w:type="paragraph" w:customStyle="1" w:styleId="xl109">
    <w:name w:val="xl109"/>
    <w:basedOn w:val="Normln"/>
    <w:pPr>
      <w:pBdr>
        <w:top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Tahoma" w:eastAsia="Arial Unicode MS" w:hAnsi="Tahoma" w:cs="Tahoma"/>
      <w:sz w:val="16"/>
      <w:szCs w:val="16"/>
    </w:rPr>
  </w:style>
  <w:style w:type="paragraph" w:customStyle="1" w:styleId="xl110">
    <w:name w:val="xl110"/>
    <w:basedOn w:val="Normln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Tahoma" w:eastAsia="Arial Unicode MS" w:hAnsi="Tahoma" w:cs="Tahoma"/>
      <w:i/>
      <w:iCs/>
      <w:color w:val="FF0000"/>
      <w:sz w:val="16"/>
      <w:szCs w:val="16"/>
    </w:rPr>
  </w:style>
  <w:style w:type="paragraph" w:customStyle="1" w:styleId="xl111">
    <w:name w:val="xl111"/>
    <w:basedOn w:val="Normln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112">
    <w:name w:val="xl112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113">
    <w:name w:val="xl113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sz w:val="16"/>
      <w:szCs w:val="16"/>
    </w:rPr>
  </w:style>
  <w:style w:type="paragraph" w:customStyle="1" w:styleId="xl114">
    <w:name w:val="xl114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sz w:val="16"/>
      <w:szCs w:val="16"/>
    </w:rPr>
  </w:style>
  <w:style w:type="paragraph" w:customStyle="1" w:styleId="xl115">
    <w:name w:val="xl115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sz w:val="16"/>
      <w:szCs w:val="16"/>
    </w:rPr>
  </w:style>
  <w:style w:type="paragraph" w:customStyle="1" w:styleId="xl116">
    <w:name w:val="xl116"/>
    <w:basedOn w:val="Normln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117">
    <w:name w:val="xl117"/>
    <w:basedOn w:val="Normln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Siln">
    <w:name w:val="Strong"/>
    <w:qFormat/>
    <w:rPr>
      <w:b/>
      <w:bCs/>
    </w:rPr>
  </w:style>
  <w:style w:type="paragraph" w:customStyle="1" w:styleId="Zkladntext210">
    <w:name w:val="Základní text 21"/>
    <w:basedOn w:val="Normln"/>
    <w:pPr>
      <w:suppressAutoHyphens/>
    </w:pPr>
    <w:rPr>
      <w:b/>
      <w:bCs/>
      <w:sz w:val="24"/>
      <w:szCs w:val="24"/>
      <w:lang w:eastAsia="ar-SA"/>
    </w:rPr>
  </w:style>
  <w:style w:type="character" w:styleId="Zdraznn">
    <w:name w:val="Emphasis"/>
    <w:qFormat/>
    <w:rsid w:val="007F7A21"/>
    <w:rPr>
      <w:i/>
      <w:iCs/>
    </w:rPr>
  </w:style>
  <w:style w:type="character" w:styleId="Odkaznakoment">
    <w:name w:val="annotation reference"/>
    <w:rsid w:val="000A38E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A38E3"/>
  </w:style>
  <w:style w:type="character" w:customStyle="1" w:styleId="TextkomenteChar">
    <w:name w:val="Text komentáře Char"/>
    <w:link w:val="Textkomente"/>
    <w:rsid w:val="000A38E3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0A38E3"/>
    <w:rPr>
      <w:b/>
      <w:bCs/>
    </w:rPr>
  </w:style>
  <w:style w:type="character" w:customStyle="1" w:styleId="PedmtkomenteChar">
    <w:name w:val="Předmět komentáře Char"/>
    <w:link w:val="Pedmtkomente"/>
    <w:rsid w:val="000A38E3"/>
    <w:rPr>
      <w:b/>
      <w:bCs/>
      <w:lang w:val="cs-CZ" w:eastAsia="cs-CZ"/>
    </w:rPr>
  </w:style>
  <w:style w:type="character" w:customStyle="1" w:styleId="ZkladntextChar">
    <w:name w:val="Základní text Char"/>
    <w:link w:val="Zkladntext"/>
    <w:rsid w:val="00301A8A"/>
    <w:rPr>
      <w:spacing w:val="-3"/>
      <w:sz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915F7"/>
    <w:pPr>
      <w:ind w:left="720"/>
      <w:contextualSpacing/>
    </w:pPr>
  </w:style>
  <w:style w:type="character" w:styleId="Hypertextovodkaz">
    <w:name w:val="Hyperlink"/>
    <w:rsid w:val="00C15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oleObject" Target="embeddings/oleObject1.bin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4A5A-19F2-4148-A5EF-1F670E3D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8E31B0D0</Template>
  <TotalTime>0</TotalTime>
  <Pages>14</Pages>
  <Words>3783</Words>
  <Characters>22324</Characters>
  <Application>Microsoft Office Word</Application>
  <DocSecurity>6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Předkládá Děkan Prof</vt:lpstr>
    </vt:vector>
  </TitlesOfParts>
  <Company>MŠMT ČR</Company>
  <LinksUpToDate>false</LinksUpToDate>
  <CharactersWithSpaces>26055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Předkládá Děkan Prof</dc:title>
  <dc:creator>Macháčková Ivana</dc:creator>
  <cp:lastModifiedBy>Friedová, Mirjam</cp:lastModifiedBy>
  <cp:revision>2</cp:revision>
  <cp:lastPrinted>2014-04-24T18:09:00Z</cp:lastPrinted>
  <dcterms:created xsi:type="dcterms:W3CDTF">2014-05-06T11:33:00Z</dcterms:created>
  <dcterms:modified xsi:type="dcterms:W3CDTF">2014-05-06T11:33:00Z</dcterms:modified>
</cp:coreProperties>
</file>